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Salvatore Mineo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Via Alle Scuole 2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6807 Taverne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2217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Mineo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MUSTER Stoffmaske mit FFP2 Eigenschaften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