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Yvonne Lüscher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Sonnhaldenweg 64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4450 Sissach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2302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Lüscher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