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3”), with a sensible plan charge set by WardPay (₦300 a payment + ₦200) that the school can raise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groups: an owner with several branches (and a central bursar) signs in once and switches branch from a menu; each branch keeps its own pupils, bills and bank account, and branch staff see only their branch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Chains of schools can use one sign-in without mixing their branches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branches: the owner sees every branch’s billed, collected, owed and received money side by side with the group’s totals, and downloads it as Excel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screen for the whole group’s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with children at several branches sign in once, see what is owed at each branch and open any of them; each branch is paid into its own account (or a shared one)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Families with children on two campuses aren’t confused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with children at several branches sign in once and see what is owed at each branch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groups: an owner with several branches signs in once, switches branch, and sees every branch’s money side by side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2026-10-27T19:28:27.809Z</dcterms:created>
  <dcterms:modified xsi:type="dcterms:W3CDTF">2026-10-27T19:28:27.811Z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