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69.133858267718" w:type="dxa"/>
        <w:jc w:val="center"/>
        <w:tblBorders>
          <w:top w:color="bf9000" w:space="0" w:sz="8" w:val="single"/>
          <w:left w:color="bf9000" w:space="0" w:sz="8" w:val="single"/>
          <w:bottom w:color="bf9000" w:space="0" w:sz="8" w:val="single"/>
          <w:right w:color="bf9000" w:space="0" w:sz="8" w:val="single"/>
          <w:insideH w:color="bf9000" w:space="0" w:sz="8" w:val="single"/>
          <w:insideV w:color="bf9000" w:space="0" w:sz="8" w:val="single"/>
        </w:tblBorders>
        <w:tblLayout w:type="fixed"/>
        <w:tblLook w:val="0600"/>
      </w:tblPr>
      <w:tblGrid>
        <w:gridCol w:w="1455.3637795275595"/>
        <w:gridCol w:w="3057.3921259842523"/>
        <w:gridCol w:w="2256.377952755906"/>
        <w:tblGridChange w:id="0">
          <w:tblGrid>
            <w:gridCol w:w="1455.3637795275595"/>
            <w:gridCol w:w="3057.3921259842523"/>
            <w:gridCol w:w="2256.377952755906"/>
          </w:tblGrid>
        </w:tblGridChange>
      </w:tblGrid>
      <w:tr>
        <w:trPr>
          <w:cantSplit w:val="0"/>
          <w:trHeight w:val="531.5400000000001" w:hRule="atLeast"/>
          <w:tblHeader w:val="0"/>
        </w:trPr>
        <w:tc>
          <w:tcPr>
            <w:shd w:fill="38761d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right"/>
              <w:rPr>
                <w:color w:val="efefef"/>
                <w:u w:val="none"/>
              </w:rPr>
            </w:pPr>
            <w:r w:rsidDel="00000000" w:rsidR="00000000" w:rsidRPr="00000000">
              <w:rPr>
                <w:color w:val="efefef"/>
                <w:rtl w:val="0"/>
              </w:rPr>
              <w:t xml:space="preserve">Aspectos</w:t>
            </w:r>
          </w:p>
          <w:p w:rsidR="00000000" w:rsidDel="00000000" w:rsidP="00000000" w:rsidRDefault="00000000" w:rsidRPr="00000000" w14:paraId="0000000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right"/>
              <w:rPr>
                <w:color w:val="efefef"/>
                <w:u w:val="none"/>
              </w:rPr>
            </w:pPr>
            <w:r w:rsidDel="00000000" w:rsidR="00000000" w:rsidRPr="00000000">
              <w:rPr>
                <w:color w:val="efefe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right"/>
              <w:rPr>
                <w:color w:val="efefef"/>
                <w:u w:val="none"/>
              </w:rPr>
            </w:pPr>
            <w:r w:rsidDel="00000000" w:rsidR="00000000" w:rsidRPr="00000000">
              <w:rPr>
                <w:color w:val="efefe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right"/>
              <w:rPr>
                <w:color w:val="efefef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erriweather Black" w:cs="Merriweather Black" w:eastAsia="Merriweather Black" w:hAnsi="Merriweather Black"/>
                <w:color w:val="00ff00"/>
                <w:u w:val="none"/>
              </w:rPr>
            </w:pPr>
            <w:r w:rsidDel="00000000" w:rsidR="00000000" w:rsidRPr="00000000">
              <w:rPr>
                <w:rFonts w:ascii="Merriweather Black" w:cs="Merriweather Black" w:eastAsia="Merriweather Black" w:hAnsi="Merriweather Black"/>
                <w:color w:val="00ff00"/>
                <w:u w:val="single"/>
                <w:rtl w:val="0"/>
              </w:rPr>
              <w:t xml:space="preserve">Mist Computing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erriweather Black" w:cs="Merriweather Black" w:eastAsia="Merriweather Black" w:hAnsi="Merriweather Black"/>
                <w:color w:val="00ff0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color w:val="7f6000"/>
                <w:u w:val="none"/>
              </w:rPr>
            </w:pPr>
            <w:r w:rsidDel="00000000" w:rsidR="00000000" w:rsidRPr="00000000">
              <w:rPr>
                <w:i w:val="1"/>
                <w:strike w:val="1"/>
                <w:color w:val="7f6000"/>
                <w:rtl w:val="0"/>
              </w:rPr>
              <w:t xml:space="preserve">Fog Computing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0b5394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980000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980000"/>
                <w:u w:val="single"/>
                <w:rtl w:val="0"/>
              </w:rPr>
              <w:t xml:space="preserve">PROS</w:t>
            </w:r>
          </w:p>
        </w:tc>
        <w:tc>
          <w:tcPr>
            <w:shd w:fill="c27ba0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right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Mayor proximidad al dispositivo</w:t>
            </w:r>
          </w:p>
        </w:tc>
        <w:tc>
          <w:tcPr>
            <w:shd w:fill="d0e0e3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Reducción de latencia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0b5394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a5af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3c78d8"/>
              </w:rPr>
            </w:pPr>
            <w:r w:rsidDel="00000000" w:rsidR="00000000" w:rsidRPr="00000000">
              <w:rPr>
                <w:color w:val="3c78d8"/>
                <w:rtl w:val="0"/>
              </w:rPr>
              <w:t xml:space="preserve">Optimización de recursos</w:t>
            </w:r>
          </w:p>
        </w:tc>
        <w:tc>
          <w:tcPr>
            <w:shd w:fill="ff00ff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i w:val="1"/>
                <w:color w:val="434343"/>
                <w:u w:val="single"/>
              </w:rPr>
            </w:pPr>
            <w:r w:rsidDel="00000000" w:rsidR="00000000" w:rsidRPr="00000000">
              <w:rPr>
                <w:i w:val="1"/>
                <w:color w:val="434343"/>
                <w:u w:val="single"/>
                <w:rtl w:val="0"/>
              </w:rPr>
              <w:t xml:space="preserve">Escalabilidad y flexibilidad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0b5394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0000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Reducción de la carga en la red</w:t>
            </w:r>
          </w:p>
        </w:tc>
        <w:tc>
          <w:tcPr>
            <w:shd w:fill="0b5394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color w:val="6aa84f"/>
                <w:highlight w:val="white"/>
              </w:rPr>
            </w:pPr>
            <w:r w:rsidDel="00000000" w:rsidR="00000000" w:rsidRPr="00000000">
              <w:rPr>
                <w:color w:val="6aa84f"/>
                <w:highlight w:val="white"/>
                <w:rtl w:val="0"/>
              </w:rPr>
              <w:t xml:space="preserve">Mejora la gestión de dispositivos heterogéneos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ff0000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hd w:fill="d0e0e3" w:val="clear"/>
              </w:rPr>
            </w:pPr>
            <w:r w:rsidDel="00000000" w:rsidR="00000000" w:rsidRPr="00000000">
              <w:rPr>
                <w:shd w:fill="d0e0e3" w:val="clear"/>
                <w:rtl w:val="0"/>
              </w:rPr>
              <w:t xml:space="preserve">CONTRAS</w:t>
            </w:r>
          </w:p>
        </w:tc>
        <w:tc>
          <w:tcPr>
            <w:shd w:fill="e6b8af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right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Mayor coste de infraestructura y mantenimiento</w:t>
            </w:r>
          </w:p>
        </w:tc>
        <w:tc>
          <w:tcPr>
            <w:shd w:fill="4c1130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 adicional de infraestructura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0000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i w:val="1"/>
                <w:color w:val="6aa84f"/>
              </w:rPr>
            </w:pPr>
            <w:r w:rsidDel="00000000" w:rsidR="00000000" w:rsidRPr="00000000">
              <w:rPr>
                <w:i w:val="1"/>
                <w:color w:val="6aa84f"/>
                <w:rtl w:val="0"/>
              </w:rPr>
              <w:t xml:space="preserve">Complejidad en la gestión</w:t>
            </w:r>
          </w:p>
        </w:tc>
        <w:tc>
          <w:tcPr>
            <w:shd w:fill="1c4587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right"/>
              <w:rPr>
                <w:color w:val="4c1130"/>
                <w:u w:val="single"/>
              </w:rPr>
            </w:pPr>
            <w:r w:rsidDel="00000000" w:rsidR="00000000" w:rsidRPr="00000000">
              <w:rPr>
                <w:color w:val="4c1130"/>
                <w:u w:val="single"/>
                <w:rtl w:val="0"/>
              </w:rPr>
              <w:t xml:space="preserve">Problemas de interoperabilidad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0000" w:val="clear"/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color w:val="ffe599"/>
                <w:sz w:val="24"/>
                <w:szCs w:val="24"/>
                <w:shd w:fill="9900ff" w:val="clear"/>
              </w:rPr>
            </w:pPr>
            <w:r w:rsidDel="00000000" w:rsidR="00000000" w:rsidRPr="00000000">
              <w:rPr>
                <w:color w:val="ffe599"/>
                <w:sz w:val="24"/>
                <w:szCs w:val="24"/>
                <w:shd w:fill="9900ff" w:val="clear"/>
                <w:rtl w:val="0"/>
              </w:rPr>
              <w:t xml:space="preserve">Limitaciones en el procesamiento y almacenamiento</w:t>
            </w:r>
          </w:p>
        </w:tc>
        <w:tc>
          <w:tcPr>
            <w:shd w:fill="666666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Mayor coste de infraestructura y mantenimiento</w:t>
            </w:r>
          </w:p>
        </w:tc>
      </w:tr>
    </w:tbl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 Black">
    <w:embedBold w:fontKey="{00000000-0000-0000-0000-000000000000}" r:id="rId1" w:subsetted="0"/>
    <w:embedBoldItalic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color w:val="0000ff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b w:val="1"/>
      <w:color w:val="0000ff"/>
    </w:rPr>
  </w:style>
  <w:style w:type="paragraph" w:styleId="Heading3">
    <w:name w:val="heading 3"/>
    <w:basedOn w:val="Normal"/>
    <w:next w:val="Normal"/>
    <w:pPr>
      <w:keepNext w:val="1"/>
      <w:keepLines w:val="1"/>
      <w:jc w:val="center"/>
    </w:pPr>
    <w:rPr>
      <w:rFonts w:ascii="Cambria Math" w:cs="Cambria Math" w:eastAsia="Cambria Math" w:hAnsi="Cambria Math"/>
      <w:b w:val="1"/>
      <w:sz w:val="60"/>
      <w:szCs w:val="6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Cambria Math" w:cs="Cambria Math" w:eastAsia="Cambria Math" w:hAnsi="Cambria Math"/>
      <w:b w:val="1"/>
      <w:color w:val="9900ff"/>
      <w:sz w:val="64"/>
      <w:szCs w:val="6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Black-bold.ttf"/><Relationship Id="rId2" Type="http://schemas.openxmlformats.org/officeDocument/2006/relationships/font" Target="fonts/MerriweatherBlack-boldItalic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