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</w:rPr>
        <w:t xml:space="preserve">Manual — Carga de Activos Fijos en Odoo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Guía operativa para registrar y depreciar activos fijos (mobiliario, equipos, vehículos, lencería, edificaciones) en Odoo. Aplica a cualquier versión reciente (16, 17, 18, 19): los nombres de menú pueden variar levemente entre versiones, pero la ruta y el orden de pasos se mantienen. Los anexos A y B y los códigos de cuenta reflejan la base actual del Hotel sobre Odoo 16 (módulo </w:t>
      </w:r>
      <w:r>
        <w:rPr>
          <w:rFonts w:ascii="Courier" w:hAnsi="Courier" w:cs="Courier"/>
          <w:sz w:val="29"/>
          <w:sz-cs w:val="29"/>
          <w:spacing w:val="0"/>
        </w:rPr>
        <w:t xml:space="preserve">account_asset</w:t>
      </w:r>
      <w:r>
        <w:rPr>
          <w:rFonts w:ascii="Arial" w:hAnsi="Arial" w:cs="Arial"/>
          <w:sz w:val="29"/>
          <w:sz-cs w:val="29"/>
          <w:spacing w:val="0"/>
        </w:rPr>
        <w:t xml:space="preserve">), a partir del diagnóstico de 769 activos.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Módulo: </w:t>
      </w:r>
      <w:r>
        <w:rPr>
          <w:rFonts w:ascii="Arial" w:hAnsi="Arial" w:cs="Arial"/>
          <w:sz w:val="29"/>
          <w:sz-cs w:val="29"/>
          <w:b/>
          <w:spacing w:val="0"/>
        </w:rPr>
        <w:t xml:space="preserve">Contabilidad</w:t>
      </w:r>
      <w:r>
        <w:rPr>
          <w:rFonts w:ascii="Arial" w:hAnsi="Arial" w:cs="Arial"/>
          <w:sz w:val="29"/>
          <w:sz-cs w:val="29"/>
          <w:spacing w:val="0"/>
        </w:rPr>
        <w:t xml:space="preserve">. Perfil requerido: usuario con permisos de Contabilidad.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Las cuentas contables concretas de cada activo (activo fijo, depreciación acumulada y gasto) deben ser indicadas por el contador de la empresa. Este manual describe el procedimiento en Odoo; la definición de qué cuenta corresponde a cada caso es responsabilidad del área contable. El mapa vigente está en el Anexo A.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1. Concepto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Un activo fijo es un bien adquirido para uso productivo, cuyo costo no se lleva a gasto de una sola vez, sino que se reparte en el tiempo mediante la </w:t>
      </w:r>
      <w:r>
        <w:rPr>
          <w:rFonts w:ascii="Arial" w:hAnsi="Arial" w:cs="Arial"/>
          <w:sz w:val="29"/>
          <w:sz-cs w:val="29"/>
          <w:b/>
          <w:spacing w:val="0"/>
        </w:rPr>
        <w:t xml:space="preserve">depreciación</w:t>
      </w:r>
      <w:r>
        <w:rPr>
          <w:rFonts w:ascii="Arial" w:hAnsi="Arial" w:cs="Arial"/>
          <w:sz w:val="29"/>
          <w:sz-cs w:val="29"/>
          <w:spacing w:val="0"/>
        </w:rPr>
        <w:t xml:space="preserve">. En Odoo se registra el activo una vez, se define cómo se deprecia, y el sistema genera automáticamente los asientos de depreciación período a período.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Dos elementos clave: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Activo:</w:t>
      </w:r>
      <w:r>
        <w:rPr>
          <w:rFonts w:ascii="Arial" w:hAnsi="Arial" w:cs="Arial"/>
          <w:sz w:val="29"/>
          <w:sz-cs w:val="29"/>
          <w:spacing w:val="0"/>
        </w:rPr>
        <w:t xml:space="preserve"> la ficha del bien concreto (nombre, valor, fechas, cuentas).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Modelo de activo:</w:t>
      </w:r>
      <w:r>
        <w:rPr>
          <w:rFonts w:ascii="Arial" w:hAnsi="Arial" w:cs="Arial"/>
          <w:sz w:val="29"/>
          <w:sz-cs w:val="29"/>
          <w:spacing w:val="0"/>
        </w:rPr>
        <w:t xml:space="preserve"> una plantilla reutilizable con los parámetros comunes de una categoría (método, duración, cuentas). Recomendado cuando se cargan muchos activos del mismo tipo.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2. Cómo funcionan las cuentas del módulo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Cada activo (y cada modelo) apunta a </w:t>
      </w:r>
      <w:r>
        <w:rPr>
          <w:rFonts w:ascii="Arial" w:hAnsi="Arial" w:cs="Arial"/>
          <w:sz w:val="29"/>
          <w:sz-cs w:val="29"/>
          <w:b/>
          <w:spacing w:val="0"/>
        </w:rPr>
        <w:t xml:space="preserve">tres cuentas y un diario</w:t>
      </w:r>
      <w:r>
        <w:rPr>
          <w:rFonts w:ascii="Arial" w:hAnsi="Arial" w:cs="Arial"/>
          <w:sz w:val="29"/>
          <w:sz-cs w:val="29"/>
          <w:spacing w:val="0"/>
        </w:rPr>
        <w:t xml:space="preserve">. Entre paréntesis, el campo técnico de la tabla </w:t>
      </w:r>
      <w:r>
        <w:rPr>
          <w:rFonts w:ascii="Courier" w:hAnsi="Courier" w:cs="Courier"/>
          <w:sz w:val="29"/>
          <w:sz-cs w:val="29"/>
          <w:spacing w:val="0"/>
        </w:rPr>
        <w:t xml:space="preserve">account_asset</w:t>
      </w:r>
      <w:r>
        <w:rPr>
          <w:rFonts w:ascii="Arial" w:hAnsi="Arial" w:cs="Arial"/>
          <w:sz w:val="29"/>
          <w:sz-cs w:val="29"/>
          <w:spacing w:val="0"/>
        </w:rPr>
        <w:t xml:space="preserve">: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Cuenta / campo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Naturaleza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Estado financiero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Función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Activo Fijo (</w:t>
      </w:r>
      <w:r>
        <w:rPr>
          <w:rFonts w:ascii="Courier" w:hAnsi="Courier" w:cs="Courier"/>
          <w:sz w:val="29"/>
          <w:sz-cs w:val="29"/>
          <w:spacing w:val="0"/>
        </w:rPr>
        <w:t xml:space="preserve">account_asset_id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Deudora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Balance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Valor bruto de adquisición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Depreciación Acumulada (</w:t>
      </w:r>
      <w:r>
        <w:rPr>
          <w:rFonts w:ascii="Courier" w:hAnsi="Courier" w:cs="Courier"/>
          <w:sz w:val="29"/>
          <w:sz-cs w:val="29"/>
          <w:spacing w:val="0"/>
        </w:rPr>
        <w:t xml:space="preserve">account_depreciation_id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Acreedora (contra-activo)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Balance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Depreciación acumulada; se acredita cada período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Gasto por Depreciación (</w:t>
      </w:r>
      <w:r>
        <w:rPr>
          <w:rFonts w:ascii="Courier" w:hAnsi="Courier" w:cs="Courier"/>
          <w:sz w:val="29"/>
          <w:sz-cs w:val="29"/>
          <w:spacing w:val="0"/>
        </w:rPr>
        <w:t xml:space="preserve">account_depreciation_expense_id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Deudora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Resultados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Gasto del período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Diario (</w:t>
      </w:r>
      <w:r>
        <w:rPr>
          <w:rFonts w:ascii="Courier" w:hAnsi="Courier" w:cs="Courier"/>
          <w:sz w:val="29"/>
          <w:sz-cs w:val="29"/>
          <w:spacing w:val="0"/>
        </w:rPr>
        <w:t xml:space="preserve">journal_id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—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—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Dónde se registran los asientos de depreciación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Regla de oro:</w:t>
      </w:r>
      <w:r>
        <w:rPr>
          <w:rFonts w:ascii="Arial" w:hAnsi="Arial" w:cs="Arial"/>
          <w:sz w:val="29"/>
          <w:sz-cs w:val="29"/>
          <w:spacing w:val="0"/>
        </w:rPr>
        <w:t xml:space="preserve"> las </w:t>
      </w:r>
      <w:r>
        <w:rPr>
          <w:rFonts w:ascii="Arial" w:hAnsi="Arial" w:cs="Arial"/>
          <w:sz w:val="29"/>
          <w:sz-cs w:val="29"/>
          <w:b/>
          <w:spacing w:val="0"/>
        </w:rPr>
        <w:t xml:space="preserve">tres cuentas son distintas entre sí</w:t>
      </w:r>
      <w:r>
        <w:rPr>
          <w:rFonts w:ascii="Arial" w:hAnsi="Arial" w:cs="Arial"/>
          <w:sz w:val="29"/>
          <w:sz-cs w:val="29"/>
          <w:spacing w:val="0"/>
        </w:rPr>
        <w:t xml:space="preserve">. En particular, la de Activo Fijo y la de Depreciación Acumulada no pueden ser la misma (el valor bruto vive en la primera y nunca se modifica; la depreciación se acumula en la segunda), y la de </w:t>
      </w:r>
      <w:r>
        <w:rPr>
          <w:rFonts w:ascii="Arial" w:hAnsi="Arial" w:cs="Arial"/>
          <w:sz w:val="29"/>
          <w:sz-cs w:val="29"/>
          <w:b/>
          <w:spacing w:val="0"/>
        </w:rPr>
        <w:t xml:space="preserve">Gasto por Depreciación tampoco puede ser la de Depreciación Acumulada</w:t>
      </w:r>
      <w:r>
        <w:rPr>
          <w:rFonts w:ascii="Arial" w:hAnsi="Arial" w:cs="Arial"/>
          <w:sz w:val="29"/>
          <w:sz-cs w:val="29"/>
          <w:spacing w:val="0"/>
        </w:rPr>
        <w:t xml:space="preserve">: son cuentas de estados financieros distintos (Resultados vs Balance). Valor neto en libros = saldo de Activo Fijo − Depreciación Acumulada.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La </w:t>
      </w:r>
      <w:r>
        <w:rPr>
          <w:rFonts w:ascii="Arial" w:hAnsi="Arial" w:cs="Arial"/>
          <w:sz w:val="29"/>
          <w:sz-cs w:val="29"/>
          <w:b/>
          <w:spacing w:val="0"/>
        </w:rPr>
        <w:t xml:space="preserve">cuenta de Gasto por Depreciación</w:t>
      </w:r>
      <w:r>
        <w:rPr>
          <w:rFonts w:ascii="Arial" w:hAnsi="Arial" w:cs="Arial"/>
          <w:sz w:val="29"/>
          <w:sz-cs w:val="29"/>
          <w:spacing w:val="0"/>
        </w:rPr>
        <w:t xml:space="preserve"> y la </w:t>
      </w:r>
      <w:r>
        <w:rPr>
          <w:rFonts w:ascii="Arial" w:hAnsi="Arial" w:cs="Arial"/>
          <w:sz w:val="29"/>
          <w:sz-cs w:val="29"/>
          <w:b/>
          <w:spacing w:val="0"/>
        </w:rPr>
        <w:t xml:space="preserve">vida útil</w:t>
      </w:r>
      <w:r>
        <w:rPr>
          <w:rFonts w:ascii="Arial" w:hAnsi="Arial" w:cs="Arial"/>
          <w:sz w:val="29"/>
          <w:sz-cs w:val="29"/>
          <w:spacing w:val="0"/>
        </w:rPr>
        <w:t xml:space="preserve"> se fijan en la </w:t>
      </w:r>
      <w:r>
        <w:rPr>
          <w:rFonts w:ascii="Arial" w:hAnsi="Arial" w:cs="Arial"/>
          <w:sz w:val="29"/>
          <w:sz-cs w:val="29"/>
          <w:b/>
          <w:spacing w:val="0"/>
        </w:rPr>
        <w:t xml:space="preserve">ficha del activo</w:t>
      </w:r>
      <w:r>
        <w:rPr>
          <w:rFonts w:ascii="Arial" w:hAnsi="Arial" w:cs="Arial"/>
          <w:sz w:val="29"/>
          <w:sz-cs w:val="29"/>
          <w:spacing w:val="0"/>
        </w:rPr>
        <w:t xml:space="preserve"> (no solo en la categoría). Es lo que garantiza que cada asiento de depreciación se cause correctamente mes a mes; si la plantilla viene mal configurada, se corrige en la ficha.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Ruta (plan de cuentas):</w:t>
      </w:r>
      <w:r>
        <w:rPr>
          <w:rFonts w:ascii="Arial" w:hAnsi="Arial" w:cs="Arial"/>
          <w:sz w:val="29"/>
          <w:sz-cs w:val="29"/>
          <w:spacing w:val="0"/>
        </w:rPr>
        <w:t xml:space="preserve"> en la aplicación Contabilidad, menú </w:t>
      </w:r>
      <w:r>
        <w:rPr>
          <w:rFonts w:ascii="Courier" w:hAnsi="Courier" w:cs="Courier"/>
          <w:sz w:val="29"/>
          <w:sz-cs w:val="29"/>
          <w:spacing w:val="0"/>
        </w:rPr>
        <w:t xml:space="preserve">Configuración &gt; Plan de cuentas</w:t>
      </w:r>
      <w:r>
        <w:rPr>
          <w:rFonts w:ascii="Arial" w:hAnsi="Arial" w:cs="Arial"/>
          <w:sz w:val="29"/>
          <w:sz-cs w:val="29"/>
          <w:spacing w:val="0"/>
        </w:rPr>
        <w:t xml:space="preserve">. Al crear o revisar la cuenta de activo fijo, el tipo de cuenta debe ser </w:t>
      </w:r>
      <w:r>
        <w:rPr>
          <w:rFonts w:ascii="Arial" w:hAnsi="Arial" w:cs="Arial"/>
          <w:sz w:val="29"/>
          <w:sz-cs w:val="29"/>
          <w:b/>
          <w:spacing w:val="0"/>
        </w:rPr>
        <w:t xml:space="preserve">Activo fijo</w:t>
      </w:r>
      <w:r>
        <w:rPr>
          <w:rFonts w:ascii="Arial" w:hAnsi="Arial" w:cs="Arial"/>
          <w:sz w:val="29"/>
          <w:sz-cs w:val="29"/>
          <w:spacing w:val="0"/>
        </w:rPr>
        <w:t xml:space="preserve"> o </w:t>
      </w:r>
      <w:r>
        <w:rPr>
          <w:rFonts w:ascii="Arial" w:hAnsi="Arial" w:cs="Arial"/>
          <w:sz w:val="29"/>
          <w:sz-cs w:val="29"/>
          <w:b/>
          <w:spacing w:val="0"/>
        </w:rPr>
        <w:t xml:space="preserve">Activo no circulante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3. Asientos que genera el módulo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3.1 Incorporación.</w:t>
      </w:r>
      <w:r>
        <w:rPr>
          <w:rFonts w:ascii="Arial" w:hAnsi="Arial" w:cs="Arial"/>
          <w:sz w:val="29"/>
          <w:sz-cs w:val="29"/>
          <w:spacing w:val="0"/>
        </w:rPr>
        <w:t xml:space="preserve"> El valor bruto se debita en la cuenta de Activo Fijo al confirmar el activo. El módulo no vuelve a tocar el bruto después de esto.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3.2 Depreciación del período</w:t>
      </w:r>
      <w:r>
        <w:rPr>
          <w:rFonts w:ascii="Arial" w:hAnsi="Arial" w:cs="Arial"/>
          <w:sz w:val="29"/>
          <w:sz-cs w:val="29"/>
          <w:spacing w:val="0"/>
        </w:rPr>
        <w:t xml:space="preserve"> (automática, en cada corrida):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Debe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Haber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Gasto por Depreciación (Resultados)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Depreciación Acumulada (Balance)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3.3 Baja o disposición.</w:t>
      </w:r>
      <w:r>
        <w:rPr>
          <w:rFonts w:ascii="Arial" w:hAnsi="Arial" w:cs="Arial"/>
          <w:sz w:val="29"/>
          <w:sz-cs w:val="29"/>
          <w:spacing w:val="0"/>
        </w:rPr>
        <w:t xml:space="preserve"> Al vender o dar de baja, Odoo revierte la depreciación acumulada y el valor bruto, y reconoce la ganancia o pérdida en disposición contra la cuenta de resultado indicada en la operación.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4. Parámetros de depreciación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Criterio homogéneo aplicado en esta base, que debe mantenerse: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Método (</w:t>
      </w:r>
      <w:r>
        <w:rPr>
          <w:rFonts w:ascii="Courier" w:hAnsi="Courier" w:cs="Courier"/>
          <w:sz w:val="29"/>
          <w:sz-cs w:val="29"/>
          <w:b/>
          <w:spacing w:val="0"/>
        </w:rPr>
        <w:t xml:space="preserve">method</w:t>
      </w:r>
      <w:r>
        <w:rPr>
          <w:rFonts w:ascii="Arial" w:hAnsi="Arial" w:cs="Arial"/>
          <w:sz w:val="29"/>
          <w:sz-cs w:val="29"/>
          <w:b/>
          <w:spacing w:val="0"/>
        </w:rPr>
        <w:t xml:space="preserve">):</w:t>
      </w:r>
      <w:r>
        <w:rPr>
          <w:rFonts w:ascii="Arial" w:hAnsi="Arial" w:cs="Arial"/>
          <w:sz w:val="29"/>
          <w:sz-cs w:val="29"/>
          <w:spacing w:val="0"/>
        </w:rPr>
        <w:t xml:space="preserve"> Lineal / Recta.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Periodicidad (</w:t>
      </w:r>
      <w:r>
        <w:rPr>
          <w:rFonts w:ascii="Courier" w:hAnsi="Courier" w:cs="Courier"/>
          <w:sz w:val="29"/>
          <w:sz-cs w:val="29"/>
          <w:b/>
          <w:spacing w:val="0"/>
        </w:rPr>
        <w:t xml:space="preserve">method_period</w:t>
      </w:r>
      <w:r>
        <w:rPr>
          <w:rFonts w:ascii="Arial" w:hAnsi="Arial" w:cs="Arial"/>
          <w:sz w:val="29"/>
          <w:sz-cs w:val="29"/>
          <w:b/>
          <w:spacing w:val="0"/>
        </w:rPr>
        <w:t xml:space="preserve">):</w:t>
      </w:r>
      <w:r>
        <w:rPr>
          <w:rFonts w:ascii="Arial" w:hAnsi="Arial" w:cs="Arial"/>
          <w:sz w:val="29"/>
          <w:sz-cs w:val="29"/>
          <w:spacing w:val="0"/>
        </w:rPr>
        <w:t xml:space="preserve"> Mensual (1 mes por cuota).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N° de cuotas (</w:t>
      </w:r>
      <w:r>
        <w:rPr>
          <w:rFonts w:ascii="Courier" w:hAnsi="Courier" w:cs="Courier"/>
          <w:sz w:val="29"/>
          <w:sz-cs w:val="29"/>
          <w:b/>
          <w:spacing w:val="0"/>
        </w:rPr>
        <w:t xml:space="preserve">method_number</w:t>
      </w:r>
      <w:r>
        <w:rPr>
          <w:rFonts w:ascii="Arial" w:hAnsi="Arial" w:cs="Arial"/>
          <w:sz w:val="29"/>
          <w:sz-cs w:val="29"/>
          <w:b/>
          <w:spacing w:val="0"/>
        </w:rPr>
        <w:t xml:space="preserve">):</w:t>
      </w:r>
      <w:r>
        <w:rPr>
          <w:rFonts w:ascii="Arial" w:hAnsi="Arial" w:cs="Arial"/>
          <w:sz w:val="29"/>
          <w:sz-cs w:val="29"/>
          <w:spacing w:val="0"/>
        </w:rPr>
        <w:t xml:space="preserve"> según la vida útil de cada categoría (ej. 12–18 lencería, 36–60 mobiliario, 120 vehículos).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Prorrateo (</w:t>
      </w:r>
      <w:r>
        <w:rPr>
          <w:rFonts w:ascii="Courier" w:hAnsi="Courier" w:cs="Courier"/>
          <w:sz w:val="29"/>
          <w:sz-cs w:val="29"/>
          <w:b/>
          <w:spacing w:val="0"/>
        </w:rPr>
        <w:t xml:space="preserve">prorata_computation_type</w:t>
      </w:r>
      <w:r>
        <w:rPr>
          <w:rFonts w:ascii="Arial" w:hAnsi="Arial" w:cs="Arial"/>
          <w:sz w:val="29"/>
          <w:sz-cs w:val="29"/>
          <w:b/>
          <w:spacing w:val="0"/>
        </w:rPr>
        <w:t xml:space="preserve">):</w:t>
      </w:r>
      <w:r>
        <w:rPr>
          <w:rFonts w:ascii="Arial" w:hAnsi="Arial" w:cs="Arial"/>
          <w:sz w:val="29"/>
          <w:sz-cs w:val="29"/>
          <w:spacing w:val="0"/>
        </w:rPr>
        <w:t xml:space="preserve"> períodos constantes.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5. Diario contable de la depreciación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Los asientos de depreciación deben registrarse en un </w:t>
      </w:r>
      <w:r>
        <w:rPr>
          <w:rFonts w:ascii="Arial" w:hAnsi="Arial" w:cs="Arial"/>
          <w:sz w:val="29"/>
          <w:sz-cs w:val="29"/>
          <w:b/>
          <w:spacing w:val="0"/>
        </w:rPr>
        <w:t xml:space="preserve">diario de activos fijos dedicado</w:t>
      </w:r>
      <w:r>
        <w:rPr>
          <w:rFonts w:ascii="Arial" w:hAnsi="Arial" w:cs="Arial"/>
          <w:sz w:val="29"/>
          <w:sz-cs w:val="29"/>
          <w:spacing w:val="0"/>
        </w:rPr>
        <w:t xml:space="preserve"> (tipo Misceláneo / Operaciones Varias), por ejemplo «AF – Depreciación de Activos Fijos».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Advertencia del diagnóstico: hoy la depreciación se registra en el diario </w:t>
      </w:r>
      <w:r>
        <w:rPr>
          <w:rFonts w:ascii="Arial" w:hAnsi="Arial" w:cs="Arial"/>
          <w:sz w:val="29"/>
          <w:sz-cs w:val="29"/>
          <w:b/>
          <w:spacing w:val="0"/>
        </w:rPr>
        <w:t xml:space="preserve">VI – Valoración de Inventario</w:t>
      </w:r>
      <w:r>
        <w:rPr>
          <w:rFonts w:ascii="Arial" w:hAnsi="Arial" w:cs="Arial"/>
          <w:sz w:val="29"/>
          <w:sz-cs w:val="29"/>
          <w:spacing w:val="0"/>
        </w:rPr>
        <w:t xml:space="preserve"> (767 activos) y </w:t>
      </w:r>
      <w:r>
        <w:rPr>
          <w:rFonts w:ascii="Arial" w:hAnsi="Arial" w:cs="Arial"/>
          <w:sz w:val="29"/>
          <w:sz-cs w:val="29"/>
          <w:b/>
          <w:spacing w:val="0"/>
        </w:rPr>
        <w:t xml:space="preserve">POS – Punto de Venta</w:t>
      </w:r>
      <w:r>
        <w:rPr>
          <w:rFonts w:ascii="Arial" w:hAnsi="Arial" w:cs="Arial"/>
          <w:sz w:val="29"/>
          <w:sz-cs w:val="29"/>
          <w:spacing w:val="0"/>
        </w:rPr>
        <w:t xml:space="preserve"> (2 activos). Funcionan mecánicamente por ser de tipo general, pero mezclan la depreciación con la operación de inventario/ventas. Antes de seguir cargando, definir con Contabilidad/Desarrollo: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Opción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Descripción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Implicación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A (recomendada)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Crear un diario dedicado «AF – Depreciación de Activos Fijos» y reasignarlo en modelos y activos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Separa la depreciación de la valoración de inventario; deja el diario VI limpio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B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Mantener el diario VI actual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No requiere reconfiguración, pero la depreciación queda mezclada en el diario de inventario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6. Crear un modelo de activo (recomendado)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El modelo evita repetir parámetros en cada carga. </w:t>
      </w:r>
      <w:r>
        <w:rPr>
          <w:rFonts w:ascii="Arial" w:hAnsi="Arial" w:cs="Arial"/>
          <w:sz w:val="29"/>
          <w:sz-cs w:val="29"/>
          <w:b/>
          <w:spacing w:val="0"/>
        </w:rPr>
        <w:t xml:space="preserve">Ruta:</w:t>
      </w:r>
      <w:r>
        <w:rPr>
          <w:rFonts w:ascii="Arial" w:hAnsi="Arial" w:cs="Arial"/>
          <w:sz w:val="29"/>
          <w:sz-cs w:val="29"/>
          <w:spacing w:val="0"/>
        </w:rPr>
        <w:t xml:space="preserve"> en la aplicación Contabilidad, menú </w:t>
      </w:r>
      <w:r>
        <w:rPr>
          <w:rFonts w:ascii="Courier" w:hAnsi="Courier" w:cs="Courier"/>
          <w:sz w:val="29"/>
          <w:sz-cs w:val="29"/>
          <w:spacing w:val="0"/>
        </w:rPr>
        <w:t xml:space="preserve">Configuración &gt; Administración &gt; Modelos de activos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Clic en </w:t>
      </w:r>
      <w:r>
        <w:rPr>
          <w:rFonts w:ascii="Arial" w:hAnsi="Arial" w:cs="Arial"/>
          <w:sz w:val="29"/>
          <w:sz-cs w:val="29"/>
          <w:b/>
          <w:spacing w:val="0"/>
        </w:rPr>
        <w:t xml:space="preserve">Nuevo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Nombre de la categoría (ej. "Lencería Hotel").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Definir método (Línea recta), periodicidad (mensual) y N° de cuotas de la categoría.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Indicar las tres cuentas (Anexo A) y el diario de activos fijos.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Guardar.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Al cargar un activo, se selecciona el modelo y los demás campos se rellenan solos.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7. Vías de carga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Criterio general:</w:t>
      </w:r>
      <w:r>
        <w:rPr>
          <w:rFonts w:ascii="Arial" w:hAnsi="Arial" w:cs="Arial"/>
          <w:sz w:val="29"/>
          <w:sz-cs w:val="29"/>
          <w:spacing w:val="0"/>
        </w:rPr>
        <w:t xml:space="preserve"> los activos </w:t>
      </w:r>
      <w:r>
        <w:rPr>
          <w:rFonts w:ascii="Arial" w:hAnsi="Arial" w:cs="Arial"/>
          <w:sz w:val="29"/>
          <w:sz-cs w:val="29"/>
          <w:b/>
          <w:spacing w:val="0"/>
        </w:rPr>
        <w:t xml:space="preserve">nuevos</w:t>
      </w:r>
      <w:r>
        <w:rPr>
          <w:rFonts w:ascii="Arial" w:hAnsi="Arial" w:cs="Arial"/>
          <w:sz w:val="29"/>
          <w:sz-cs w:val="29"/>
          <w:spacing w:val="0"/>
        </w:rPr>
        <w:t xml:space="preserve"> (adquiridos en el período contable abierto) se cargan por 7.1. Los activos </w:t>
      </w:r>
      <w:r>
        <w:rPr>
          <w:rFonts w:ascii="Arial" w:hAnsi="Arial" w:cs="Arial"/>
          <w:sz w:val="29"/>
          <w:sz-cs w:val="29"/>
          <w:b/>
          <w:spacing w:val="0"/>
        </w:rPr>
        <w:t xml:space="preserve">históricos</w:t>
      </w:r>
      <w:r>
        <w:rPr>
          <w:rFonts w:ascii="Arial" w:hAnsi="Arial" w:cs="Arial"/>
          <w:sz w:val="29"/>
          <w:sz-cs w:val="29"/>
          <w:spacing w:val="0"/>
        </w:rPr>
        <w:t xml:space="preserve"> (que ya venían depreciándose antes de Odoo) se cargan por 7.2, con depreciación importada.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</w:rPr>
        <w:t xml:space="preserve">7.1 Vía manual — alta de activo nuevo</w:t>
      </w:r>
    </w:p>
    <w:p>
      <w:pPr>
        <w:ind w:left="720" w:first-line="-720"/>
      </w:pPr>
      <w:r>
        <w:rPr>
          <w:rFonts w:ascii="Courier" w:hAnsi="Courier" w:cs="Courier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29"/>
          <w:sz-cs w:val="29"/>
          <w:spacing w:val="0"/>
        </w:rPr>
        <w:t xml:space="preserve">Contabilidad &gt; Activos &gt; Nuevo</w:t>
      </w:r>
      <w:r>
        <w:rPr>
          <w:rFonts w:ascii="Arial" w:hAnsi="Arial" w:cs="Arial"/>
          <w:sz w:val="29"/>
          <w:sz-cs w:val="29"/>
          <w:spacing w:val="0"/>
        </w:rPr>
        <w:t xml:space="preserve">. Nombre descriptivo y </w:t>
      </w:r>
      <w:r>
        <w:rPr>
          <w:rFonts w:ascii="Arial" w:hAnsi="Arial" w:cs="Arial"/>
          <w:sz w:val="29"/>
          <w:sz-cs w:val="29"/>
          <w:b/>
          <w:spacing w:val="0"/>
        </w:rPr>
        <w:t xml:space="preserve">Modelo/categoría</w:t>
      </w:r>
      <w:r>
        <w:rPr>
          <w:rFonts w:ascii="Arial" w:hAnsi="Arial" w:cs="Arial"/>
          <w:sz w:val="29"/>
          <w:sz-cs w:val="29"/>
          <w:spacing w:val="0"/>
        </w:rPr>
        <w:t xml:space="preserve"> (precarga las tres cuentas y el método).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Ingresar </w:t>
      </w:r>
      <w:r>
        <w:rPr>
          <w:rFonts w:ascii="Arial" w:hAnsi="Arial" w:cs="Arial"/>
          <w:sz w:val="29"/>
          <w:sz-cs w:val="29"/>
          <w:b/>
          <w:spacing w:val="0"/>
        </w:rPr>
        <w:t xml:space="preserve">Valor bruto</w:t>
      </w:r>
      <w:r>
        <w:rPr>
          <w:rFonts w:ascii="Arial" w:hAnsi="Arial" w:cs="Arial"/>
          <w:sz w:val="29"/>
          <w:sz-cs w:val="29"/>
          <w:spacing w:val="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</w:rPr>
        <w:t xml:space="preserve">original_value</w:t>
      </w:r>
      <w:r>
        <w:rPr>
          <w:rFonts w:ascii="Arial" w:hAnsi="Arial" w:cs="Arial"/>
          <w:sz w:val="29"/>
          <w:sz-cs w:val="29"/>
          <w:spacing w:val="0"/>
        </w:rPr>
        <w:t xml:space="preserve">), </w:t>
      </w:r>
      <w:r>
        <w:rPr>
          <w:rFonts w:ascii="Arial" w:hAnsi="Arial" w:cs="Arial"/>
          <w:sz w:val="29"/>
          <w:sz-cs w:val="29"/>
          <w:b/>
          <w:spacing w:val="0"/>
        </w:rPr>
        <w:t xml:space="preserve">fecha de adquisición</w:t>
      </w:r>
      <w:r>
        <w:rPr>
          <w:rFonts w:ascii="Arial" w:hAnsi="Arial" w:cs="Arial"/>
          <w:sz w:val="29"/>
          <w:sz-cs w:val="29"/>
          <w:spacing w:val="0"/>
        </w:rPr>
        <w:t xml:space="preserve"> del período corriente y valor residual si aplica.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Confirmar en la </w:t>
      </w:r>
      <w:r>
        <w:rPr>
          <w:rFonts w:ascii="Arial" w:hAnsi="Arial" w:cs="Arial"/>
          <w:sz w:val="29"/>
          <w:sz-cs w:val="29"/>
          <w:b/>
          <w:spacing w:val="0"/>
        </w:rPr>
        <w:t xml:space="preserve">ficha</w:t>
      </w:r>
      <w:r>
        <w:rPr>
          <w:rFonts w:ascii="Arial" w:hAnsi="Arial" w:cs="Arial"/>
          <w:sz w:val="29"/>
          <w:sz-cs w:val="29"/>
          <w:spacing w:val="0"/>
        </w:rPr>
        <w:t xml:space="preserve"> la </w:t>
      </w:r>
      <w:r>
        <w:rPr>
          <w:rFonts w:ascii="Arial" w:hAnsi="Arial" w:cs="Arial"/>
          <w:sz w:val="29"/>
          <w:sz-cs w:val="29"/>
          <w:b/>
          <w:spacing w:val="0"/>
        </w:rPr>
        <w:t xml:space="preserve">vida útil</w:t>
      </w:r>
      <w:r>
        <w:rPr>
          <w:rFonts w:ascii="Arial" w:hAnsi="Arial" w:cs="Arial"/>
          <w:sz w:val="29"/>
          <w:sz-cs w:val="29"/>
          <w:spacing w:val="0"/>
        </w:rPr>
        <w:t xml:space="preserve"> (N° de cuotas) y la </w:t>
      </w:r>
      <w:r>
        <w:rPr>
          <w:rFonts w:ascii="Arial" w:hAnsi="Arial" w:cs="Arial"/>
          <w:sz w:val="29"/>
          <w:sz-cs w:val="29"/>
          <w:b/>
          <w:spacing w:val="0"/>
        </w:rPr>
        <w:t xml:space="preserve">cuenta de Gasto por Depreciación</w:t>
      </w:r>
      <w:r>
        <w:rPr>
          <w:rFonts w:ascii="Arial" w:hAnsi="Arial" w:cs="Arial"/>
          <w:sz w:val="29"/>
          <w:sz-cs w:val="29"/>
          <w:spacing w:val="0"/>
        </w:rPr>
        <w:t xml:space="preserve"> correctas; verificar que las tres cuentas correspondan a la categoría (Anexo A) y que gasto y depreciación acumulada no sean la misma. Confirmar el activo.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</w:rPr>
        <w:t xml:space="preserve">7.2 Carga inicial de activos históricos — depreciación importada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Para un activo que ya traía depreciación acumulada, el bruto y la acumulada se migran primero por el </w:t>
      </w:r>
      <w:r>
        <w:rPr>
          <w:rFonts w:ascii="Arial" w:hAnsi="Arial" w:cs="Arial"/>
          <w:sz w:val="29"/>
          <w:sz-cs w:val="29"/>
          <w:b/>
          <w:spacing w:val="0"/>
        </w:rPr>
        <w:t xml:space="preserve">asiento de apertura</w:t>
      </w:r>
      <w:r>
        <w:rPr>
          <w:rFonts w:ascii="Arial" w:hAnsi="Arial" w:cs="Arial"/>
          <w:sz w:val="29"/>
          <w:sz-cs w:val="29"/>
          <w:spacing w:val="0"/>
        </w:rPr>
        <w:t xml:space="preserve">. En el módulo se carga el activo declarando la depreciación ya reconocida en el campo </w:t>
      </w:r>
      <w:r>
        <w:rPr>
          <w:rFonts w:ascii="Courier" w:hAnsi="Courier" w:cs="Courier"/>
          <w:sz w:val="29"/>
          <w:sz-cs w:val="29"/>
          <w:b/>
          <w:spacing w:val="0"/>
        </w:rPr>
        <w:t xml:space="preserve">already_depreciated_amount_import</w:t>
      </w:r>
      <w:r>
        <w:rPr>
          <w:rFonts w:ascii="Arial" w:hAnsi="Arial" w:cs="Arial"/>
          <w:sz w:val="29"/>
          <w:sz-cs w:val="29"/>
          <w:spacing w:val="0"/>
        </w:rPr>
        <w:t xml:space="preserve">, de modo que Odoo </w:t>
      </w:r>
      <w:r>
        <w:rPr>
          <w:rFonts w:ascii="Arial" w:hAnsi="Arial" w:cs="Arial"/>
          <w:sz w:val="29"/>
          <w:sz-cs w:val="29"/>
          <w:b/>
          <w:spacing w:val="0"/>
        </w:rPr>
        <w:t xml:space="preserve">no</w:t>
      </w:r>
      <w:r>
        <w:rPr>
          <w:rFonts w:ascii="Arial" w:hAnsi="Arial" w:cs="Arial"/>
          <w:sz w:val="29"/>
          <w:sz-cs w:val="29"/>
          <w:spacing w:val="0"/>
        </w:rPr>
        <w:t xml:space="preserve"> genere cuotas retroactivas ni asientos hacia el pasado: solo depreciará el neto restante hacia adelante. El módulo queda como auxiliar que amarra a las cuentas de control del mayor.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Confirmar que el asiento de apertura ya cargó, por categoría, el valor bruto (cuenta de Activo Fijo) y la depreciación acumulada (contra-cuenta).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Crear el activo con: </w:t>
      </w:r>
      <w:r>
        <w:rPr>
          <w:rFonts w:ascii="Arial" w:hAnsi="Arial" w:cs="Arial"/>
          <w:sz w:val="29"/>
          <w:sz-cs w:val="29"/>
          <w:b/>
          <w:spacing w:val="0"/>
        </w:rPr>
        <w:t xml:space="preserve">Valor bruto</w:t>
      </w:r>
      <w:r>
        <w:rPr>
          <w:rFonts w:ascii="Arial" w:hAnsi="Arial" w:cs="Arial"/>
          <w:sz w:val="29"/>
          <w:sz-cs w:val="29"/>
          <w:spacing w:val="0"/>
        </w:rPr>
        <w:t xml:space="preserve"> = costo histórico; </w:t>
      </w:r>
      <w:r>
        <w:rPr>
          <w:rFonts w:ascii="Arial" w:hAnsi="Arial" w:cs="Arial"/>
          <w:sz w:val="29"/>
          <w:sz-cs w:val="29"/>
          <w:b/>
          <w:spacing w:val="0"/>
        </w:rPr>
        <w:t xml:space="preserve">Fecha de adquisición</w:t>
      </w:r>
      <w:r>
        <w:rPr>
          <w:rFonts w:ascii="Arial" w:hAnsi="Arial" w:cs="Arial"/>
          <w:sz w:val="29"/>
          <w:sz-cs w:val="29"/>
          <w:spacing w:val="0"/>
        </w:rPr>
        <w:t xml:space="preserve"> = fecha real (histórica); método, periodicidad y N° de cuotas totales según la vida original.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Registrar la depreciación acumulada a la fecha de corte en </w:t>
      </w:r>
      <w:r>
        <w:rPr>
          <w:rFonts w:ascii="Courier" w:hAnsi="Courier" w:cs="Courier"/>
          <w:sz w:val="29"/>
          <w:sz-cs w:val="29"/>
          <w:b/>
          <w:spacing w:val="0"/>
        </w:rPr>
        <w:t xml:space="preserve">already_depreciated_amount_import</w:t>
      </w:r>
      <w:r>
        <w:rPr>
          <w:rFonts w:ascii="Arial" w:hAnsi="Arial" w:cs="Arial"/>
          <w:sz w:val="29"/>
          <w:sz-cs w:val="29"/>
          <w:spacing w:val="0"/>
        </w:rPr>
        <w:t xml:space="preserve">. Odoo toma ese monto como punto de partida y solo genera las cuotas restantes.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Verificar que el valor neto en libros del activo coincida con (bruto − acumulada importada) y con el neto del sistema anterior.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No usar fecha histórica sin depreciación importada</w:t>
      </w:r>
      <w:r>
        <w:rPr>
          <w:rFonts w:ascii="Arial" w:hAnsi="Arial" w:cs="Arial"/>
          <w:sz w:val="29"/>
          <w:sz-cs w:val="29"/>
          <w:spacing w:val="0"/>
        </w:rPr>
        <w:t xml:space="preserve"> para activos preexistentes: en ese caso Odoo contabiliza toda la depreciación de arrastre, con riesgo de tocar períodos cerrados, distorsionar el resultado del ejercicio corriente y, si la apertura ya trae la acumulada, duplicarla.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8. Generar, revisar y confirmar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Calcular depreciación:</w:t>
      </w:r>
      <w:r>
        <w:rPr>
          <w:rFonts w:ascii="Arial" w:hAnsi="Arial" w:cs="Arial"/>
          <w:sz w:val="29"/>
          <w:sz-cs w:val="29"/>
          <w:spacing w:val="0"/>
        </w:rPr>
        <w:t xml:space="preserve"> genera el </w:t>
      </w:r>
      <w:r>
        <w:rPr>
          <w:rFonts w:ascii="Arial" w:hAnsi="Arial" w:cs="Arial"/>
          <w:sz w:val="29"/>
          <w:sz-cs w:val="29"/>
          <w:b/>
          <w:spacing w:val="0"/>
        </w:rPr>
        <w:t xml:space="preserve">cuadro de depreciación</w:t>
      </w:r>
      <w:r>
        <w:rPr>
          <w:rFonts w:ascii="Arial" w:hAnsi="Arial" w:cs="Arial"/>
          <w:sz w:val="29"/>
          <w:sz-cs w:val="29"/>
          <w:spacing w:val="0"/>
        </w:rPr>
        <w:t xml:space="preserve"> (todos los asientos con fecha y monto). El total debe igualar el valor depreciable (bruto − valor no depreciable). En históricos, el cuadro solo debe mostrar las cuotas futuras del neto restante.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Confirmar:</w:t>
      </w:r>
      <w:r>
        <w:rPr>
          <w:rFonts w:ascii="Arial" w:hAnsi="Arial" w:cs="Arial"/>
          <w:sz w:val="29"/>
          <w:sz-cs w:val="29"/>
          <w:spacing w:val="0"/>
        </w:rPr>
        <w:t xml:space="preserve"> el activo pasa de </w:t>
      </w:r>
      <w:r>
        <w:rPr>
          <w:rFonts w:ascii="Arial" w:hAnsi="Arial" w:cs="Arial"/>
          <w:sz w:val="29"/>
          <w:sz-cs w:val="29"/>
          <w:b/>
          <w:spacing w:val="0"/>
        </w:rPr>
        <w:t xml:space="preserve">Borrador</w:t>
      </w:r>
      <w:r>
        <w:rPr>
          <w:rFonts w:ascii="Arial" w:hAnsi="Arial" w:cs="Arial"/>
          <w:sz w:val="29"/>
          <w:sz-cs w:val="29"/>
          <w:spacing w:val="0"/>
        </w:rPr>
        <w:t xml:space="preserve"> a </w:t>
      </w:r>
      <w:r>
        <w:rPr>
          <w:rFonts w:ascii="Arial" w:hAnsi="Arial" w:cs="Arial"/>
          <w:sz w:val="29"/>
          <w:sz-cs w:val="29"/>
          <w:b/>
          <w:spacing w:val="0"/>
        </w:rPr>
        <w:t xml:space="preserve">En proceso</w:t>
      </w:r>
      <w:r>
        <w:rPr>
          <w:rFonts w:ascii="Arial" w:hAnsi="Arial" w:cs="Arial"/>
          <w:sz w:val="29"/>
          <w:sz-cs w:val="29"/>
          <w:spacing w:val="0"/>
        </w:rPr>
        <w:t xml:space="preserve">; los asientos quedan programados y Odoo los publica en sus fechas. En borrador no genera contabilidad.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9. Ajustes posteriores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Modificar depreciación:</w:t>
      </w:r>
      <w:r>
        <w:rPr>
          <w:rFonts w:ascii="Arial" w:hAnsi="Arial" w:cs="Arial"/>
          <w:sz w:val="29"/>
          <w:sz-cs w:val="29"/>
          <w:spacing w:val="0"/>
        </w:rPr>
        <w:t xml:space="preserve"> botón </w:t>
      </w:r>
      <w:r>
        <w:rPr>
          <w:rFonts w:ascii="Arial" w:hAnsi="Arial" w:cs="Arial"/>
          <w:sz w:val="29"/>
          <w:sz-cs w:val="29"/>
          <w:b/>
          <w:spacing w:val="0"/>
        </w:rPr>
        <w:t xml:space="preserve">Modificar depreciación</w:t>
      </w:r>
      <w:r>
        <w:rPr>
          <w:rFonts w:ascii="Arial" w:hAnsi="Arial" w:cs="Arial"/>
          <w:sz w:val="29"/>
          <w:sz-cs w:val="29"/>
          <w:spacing w:val="0"/>
        </w:rPr>
        <w:t xml:space="preserve">. Si el valor baja, registra un asiento de ajuste y recalcula los períodos futuros no publicados. Si sube, crea un activo adicional por el incremento (botón inteligente "Incremento bruto").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Vender o desechar:</w:t>
      </w:r>
      <w:r>
        <w:rPr>
          <w:rFonts w:ascii="Arial" w:hAnsi="Arial" w:cs="Arial"/>
          <w:sz w:val="29"/>
          <w:sz-cs w:val="29"/>
          <w:spacing w:val="0"/>
        </w:rPr>
        <w:t xml:space="preserve"> botón </w:t>
      </w:r>
      <w:r>
        <w:rPr>
          <w:rFonts w:ascii="Arial" w:hAnsi="Arial" w:cs="Arial"/>
          <w:sz w:val="29"/>
          <w:sz-cs w:val="29"/>
          <w:b/>
          <w:spacing w:val="0"/>
        </w:rPr>
        <w:t xml:space="preserve">Vender o desechar</w:t>
      </w:r>
      <w:r>
        <w:rPr>
          <w:rFonts w:ascii="Arial" w:hAnsi="Arial" w:cs="Arial"/>
          <w:sz w:val="29"/>
          <w:sz-cs w:val="29"/>
          <w:spacing w:val="0"/>
        </w:rPr>
        <w:t xml:space="preserve">. Se indica fecha y, si hubo venta, monto y cuentas de ganancia/pérdida. El activo sale del balance. Para lencería dada de baja, ver sección 10 y el acta del Anexo C.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10. Caso especial — Lencería y blancos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La lencería (sábanas, fundas, toallas, mantelería) </w:t>
      </w:r>
      <w:r>
        <w:rPr>
          <w:rFonts w:ascii="Arial" w:hAnsi="Arial" w:cs="Arial"/>
          <w:sz w:val="29"/>
          <w:sz-cs w:val="29"/>
          <w:b/>
          <w:spacing w:val="0"/>
        </w:rPr>
        <w:t xml:space="preserve">no es gasto inmediato</w:t>
      </w:r>
      <w:r>
        <w:rPr>
          <w:rFonts w:ascii="Arial" w:hAnsi="Arial" w:cs="Arial"/>
          <w:sz w:val="29"/>
          <w:sz-cs w:val="29"/>
          <w:spacing w:val="0"/>
        </w:rPr>
        <w:t xml:space="preserve">: se capitaliza como activo y se amortiza por su desgaste. En el Hotel se trata como categoría de activo fijo ("Lencería Hotel", Anexo A), con amortización en </w:t>
      </w:r>
      <w:r>
        <w:rPr>
          <w:rFonts w:ascii="Arial" w:hAnsi="Arial" w:cs="Arial"/>
          <w:sz w:val="29"/>
          <w:sz-cs w:val="29"/>
          <w:b/>
          <w:spacing w:val="0"/>
        </w:rPr>
        <w:t xml:space="preserve">línea recta</w:t>
      </w:r>
      <w:r>
        <w:rPr>
          <w:rFonts w:ascii="Arial" w:hAnsi="Arial" w:cs="Arial"/>
          <w:sz w:val="29"/>
          <w:sz-cs w:val="29"/>
          <w:spacing w:val="0"/>
        </w:rPr>
        <w:t xml:space="preserve"> y las vidas útiles de la política contable: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Ítem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Vida útil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Tasa anual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Toallas (baño, mano, piso)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12 meses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100%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Sábanas y fundas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18–24 meses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50%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Edredones y protectores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36 meses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33,3%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Mantelería de restaurante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12 meses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100%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Reglas de reconocimiento y control: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Reconocimiento inicial:</w:t>
      </w:r>
      <w:r>
        <w:rPr>
          <w:rFonts w:ascii="Arial" w:hAnsi="Arial" w:cs="Arial"/>
          <w:sz w:val="29"/>
          <w:sz-cs w:val="29"/>
          <w:spacing w:val="0"/>
        </w:rPr>
        <w:t xml:space="preserve"> la dotación inicial y los incrementos de capacidad se registran al costo de adquisición (incluye impuestos no recuperables, fletes y gastos directos de puesta en uso).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Medición posterior:</w:t>
      </w:r>
      <w:r>
        <w:rPr>
          <w:rFonts w:ascii="Arial" w:hAnsi="Arial" w:cs="Arial"/>
          <w:sz w:val="29"/>
          <w:sz-cs w:val="29"/>
          <w:spacing w:val="0"/>
        </w:rPr>
        <w:t xml:space="preserve"> amortización mensual estimada contra el gasto (Débito Gasto por Amortización de Lencería / Crédito Amortización Acumulada de Lencería).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Conteo físico:</w:t>
      </w:r>
      <w:r>
        <w:rPr>
          <w:rFonts w:ascii="Arial" w:hAnsi="Arial" w:cs="Arial"/>
          <w:sz w:val="29"/>
          <w:sz-cs w:val="29"/>
          <w:spacing w:val="0"/>
        </w:rPr>
        <w:t xml:space="preserve"> mensual del stock en almacén; trimestral de la lencería en uso (habitaciones y lavandería).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Bajas por daño (merma):</w:t>
      </w:r>
      <w:r>
        <w:rPr>
          <w:rFonts w:ascii="Arial" w:hAnsi="Arial" w:cs="Arial"/>
          <w:sz w:val="29"/>
          <w:sz-cs w:val="29"/>
          <w:spacing w:val="0"/>
        </w:rPr>
        <w:t xml:space="preserve"> la lencería con daño irreparable se retira del activo y va al gasto </w:t>
      </w:r>
      <w:r>
        <w:rPr>
          <w:rFonts w:ascii="Arial" w:hAnsi="Arial" w:cs="Arial"/>
          <w:sz w:val="29"/>
          <w:sz-cs w:val="29"/>
          <w:b/>
          <w:spacing w:val="0"/>
        </w:rPr>
        <w:t xml:space="preserve">previa "Acta de Desincorporación"</w:t>
      </w:r>
      <w:r>
        <w:rPr>
          <w:rFonts w:ascii="Arial" w:hAnsi="Arial" w:cs="Arial"/>
          <w:sz w:val="29"/>
          <w:sz-cs w:val="29"/>
          <w:spacing w:val="0"/>
        </w:rPr>
        <w:t xml:space="preserve"> firmada por Ama de Llaves y Contador (modelo en Anexo C). En Odoo, la baja se registra con </w:t>
      </w:r>
      <w:r>
        <w:rPr>
          <w:rFonts w:ascii="Arial" w:hAnsi="Arial" w:cs="Arial"/>
          <w:sz w:val="29"/>
          <w:sz-cs w:val="29"/>
          <w:b/>
          <w:spacing w:val="0"/>
        </w:rPr>
        <w:t xml:space="preserve">Vender o desechar</w:t>
      </w:r>
      <w:r>
        <w:rPr>
          <w:rFonts w:ascii="Arial" w:hAnsi="Arial" w:cs="Arial"/>
          <w:sz w:val="29"/>
          <w:sz-cs w:val="29"/>
          <w:spacing w:val="0"/>
        </w:rPr>
        <w:t xml:space="preserve"> sobre el activo/lote correspondiente.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Reexpresión:</w:t>
      </w:r>
      <w:r>
        <w:rPr>
          <w:rFonts w:ascii="Arial" w:hAnsi="Arial" w:cs="Arial"/>
          <w:sz w:val="29"/>
          <w:sz-cs w:val="29"/>
          <w:spacing w:val="0"/>
        </w:rPr>
        <w:t xml:space="preserve"> para estados financieros de cierre, los saldos se reexpresan conforme a BA VEN-NIF 2, manteniendo el costo histórico en los libros auxiliares.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11. Validaciones posteriores a la carga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Existen las tres cuentas de la categoría en el plan de cuentas y el activo apunta a las correctas (Anexo A).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La suma de valores brutos de los activos de una categoría = saldo de su cuenta de Activo Fijo en el mayor.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La suma de depreciación acumulada de los activos = saldo de su contra-cuenta de Depreciación Acumulada.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Las tres cuentas del activo son distintas entre sí: Activo Fijo ≠ Depreciación Acumulada, y Gasto por Depreciación ≠ Depreciación Acumulada. La cuenta de gasto y la vida útil están fijadas en la ficha del activo.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El diario asignado es el de activos fijos (no un diario de inventario o ventas por descuido).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El cuadro de depreciación arranca en la fecha esperada; en históricos, sin cuotas retroactivas.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En históricos, el neto en libros coincide con (bruto − acumulada importada) y con el neto del sistema anterior.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Anexo A — Mapa de cuentas por categoría (base actual)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Mapeo canónico verificado sobre los activos correctamente configurados. Referencia para toda carga nueva: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Categoría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Activo (bruto)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Deprec. Acumulada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Gasto Deprec.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Lencería Hotel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121000100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121000101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613100009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Activos Menores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121000012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121000013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613100008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Activos / Herramientas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121000014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121000015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613100010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Electrodomésticos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121000008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121000009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613100004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Mobiliario y Equipo de Oficina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121000006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121000007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613100003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Vehículos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121000010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121000011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613100005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Anexo B — Hallazgos de configuración a corregir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Detectados en el diagnóstico de los 769 activos en marcha. Subsanar antes de continuar cargando: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Prioridad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Hallazgo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Alcance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Alta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Diario de depreciación en VI (inventario) / POS en lugar de un diario de activos fijos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769 activos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Alta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Cuenta de activo apuntando a Inventario de Mercancía (113100001) o a una contra-cuenta de depreciación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4 activos (~Bs. 33.764)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Alta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Depreciación acumulada apuntando a la misma cuenta del activo (netea el bruto)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4 activos (herramientas)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Media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Cruce de depreciación/gasto entre categorías distintas a la del activo (rompe el auxiliar por clase)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33 activos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Media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Modelos/plantillas defectuosos: uno sin cuenta de activo y nombre «PRUEBA»; otro con deprec. = cuenta de activo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2 modelos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Media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Verificar el arrastre de depreciación de la carga inicial (períodos cerrados / posible duplicación de acumulada)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Carga histórica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Anexo C — Modelo de Acta de Desincorporación de Lencería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Soporte para que el contador realice el asiento de baja. Debe llevar numeración correlativa.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ACTA DE DESINCORPORACIÓN DE LENCERÍA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Hotel: ____________________   RIF: ____________   Fecha: __/__/202_   Acta N°: 202_-___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/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1. DATOS GENERALES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   Departamento solicitante: Ama de Llaves / Lavandería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   Motivo (marque):  ( ) Deterioro por uso  ( ) Daño irreparable  ( ) Pérdida/Extravío  ( ) Obsolescencia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/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2. DETALLE DE LOS BIENES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   Código/ID | Descripción | Cantidad | Unidad | Estado / Observación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   ----------------------------------------------------------------------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                                                     TOTAL: ______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/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3. RELATO DE LOS HECHOS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   ________________________________________________________________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/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4. DESTINO FINAL (donación / trapos de limpieza / destrucción): ____________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/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5. FIRMAS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   Ama de Llaves ____________  Operaciones/Auditoría ____________  Contador ____________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Notas de control (Venezuela): si la lencería dañada se reutiliza como trapos, contablemente sigue siendo baja (el valor en libros va al gasto y el trapo queda como suministro a valor cero). Anexar soporte fotográfico o reporte de lavandería ante fiscalización.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Referencia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Documentación oficial de Odoo —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Non-current assets and fixed assets (19.0)</w:t>
      </w:r>
      <w:r>
        <w:rPr>
          <w:rFonts w:ascii="Arial" w:hAnsi="Arial" w:cs="Arial"/>
          <w:sz w:val="29"/>
          <w:sz-cs w:val="29"/>
          <w:spacing w:val="0"/>
        </w:rPr>
        <w:t xml:space="preserve">. La misma sección existe para 16.0, 17.0 y 18.0 cambiando el número de versión en la URL.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Procedimiento de carga y anexos A/B: diagnóstico de 769 activos del Hotel (Odoo 16, módulo </w:t>
      </w:r>
      <w:r>
        <w:rPr>
          <w:rFonts w:ascii="Courier" w:hAnsi="Courier" w:cs="Courier"/>
          <w:sz w:val="29"/>
          <w:sz-cs w:val="29"/>
          <w:spacing w:val="0"/>
        </w:rPr>
        <w:t xml:space="preserve">account_asset</w:t>
      </w:r>
      <w:r>
        <w:rPr>
          <w:rFonts w:ascii="Arial" w:hAnsi="Arial" w:cs="Arial"/>
          <w:sz w:val="29"/>
          <w:sz-cs w:val="29"/>
          <w:spacing w:val="0"/>
        </w:rPr>
        <w:t xml:space="preserve">), Lic. Jesús R. Urbaneja F.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Tratamiento y política de lencería: criterios BA VEN-NIF para hotelería.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