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Highlights</w:t>
      </w:r>
    </w:p>
    <w:p>
      <w:pPr>
        <w:numPr>
          <w:ilvl w:val="0"/>
          <w:numId w:val="1"/>
        </w:numPr>
      </w:pPr>
      <w:r>
        <w:t>Sentence multi-vectors postpone chunk cuts until the query is known.</w:t>
      </w:r>
    </w:p>
    <w:p>
      <w:pPr>
        <w:numPr>
          <w:ilvl w:val="0"/>
          <w:numId w:val="1"/>
        </w:numPr>
      </w:pPr>
      <w:r>
        <w:t>A 1D program selects at most two non-overlapping spans under budget B.</w:t>
      </w:r>
    </w:p>
    <w:p>
      <w:pPr>
        <w:numPr>
          <w:ilvl w:val="0"/>
          <w:numId w:val="1"/>
        </w:numPr>
      </w:pPr>
      <w:r>
        <w:t>Split-conformal B is the train quantile of gold-inclusion token depth.</w:t>
      </w:r>
    </w:p>
    <w:p>
      <w:pPr>
        <w:numPr>
          <w:ilvl w:val="0"/>
          <w:numId w:val="1"/>
        </w:numPr>
      </w:pPr>
      <w:r>
        <w:t>Hybrid RRF often leads SciFact nDCG@10 at full-document token cost.</w:t>
      </w:r>
    </w:p>
    <w:p>
      <w:pPr>
        <w:numPr>
          <w:ilvl w:val="0"/>
          <w:numId w:val="1"/>
        </w:numPr>
      </w:pPr>
      <w:r>
        <w:t>QALS stays competitive on nDCG@10 while using a much smaller prompt.</w:t>
      </w:r>
    </w:p>
  </w:body>
</w:document>
</file>