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Cover letter</w:t>
      </w:r>
    </w:p>
    <w:p>
      <w:r>
        <w:t xml:space="preserve">Dear Editor,</w:t>
      </w:r>
    </w:p>
    <w:p>
      <w:r>
        <w:t xml:space="preserve"/>
      </w:r>
    </w:p>
    <w:p>
      <w:r>
        <w:t xml:space="preserve">Please consider our research manuscript, Query-adaptive late segmentation: budgeted contiguous evidence assembly for retrieval-augmented generation, for Expert Systems with Applications.</w:t>
      </w:r>
    </w:p>
    <w:p>
      <w:r>
        <w:t xml:space="preserve"/>
      </w:r>
    </w:p>
    <w:p>
      <w:r>
        <w:t xml:space="preserve">An earlier version was desk-rejected at Information Processing and Management. The editor judged the contribution incremental relative to existing work on late chunking, contextual retrieval, and adaptive granularity, and asked for stronger SOTA and LLM-facing baselines.</w:t>
      </w:r>
    </w:p>
    <w:p>
      <w:r>
        <w:t xml:space="preserve"/>
      </w:r>
    </w:p>
    <w:p>
      <w:r>
        <w:t xml:space="preserve">This rewrite answers that feedback directly. We claim only query-time contiguous span assembly under a calibrated token budget B, with a Pareto story against full-document prompts. We position against late chunking, Anthropic-style contextual retrieval, WADSeg, Adaptive-k, Mix-of-Granularity, LGMGC, LumberChunker, SmartChunk, and related 2025-2026 papers. We add Adaptive-k and late-chunking-style retrieval baselines, ablations that separate packing from multi-vector scoring, and a generation evaluation section with faithfulness and answer metrics under a shared small instruct model. Split-conformal budgeting is reported honestly, including saturation at a 2000-word cap on SciFact. Hybrid RRF remains the stronger SciFact nDCG@10 ranker in our MiniLM setup.</w:t>
      </w:r>
    </w:p>
    <w:p>
      <w:r>
        <w:t xml:space="preserve"/>
      </w:r>
    </w:p>
    <w:p>
      <w:r>
        <w:t xml:space="preserve">The manuscript is written as a deployable evidence-assembly stage for expert RAG systems, which matches ESWA's applied scope. It is original, is not under review elsewhere, and has not been posted as a preprint. All authors approve this submission. We request subscription publication, not gold open access.</w:t>
      </w:r>
    </w:p>
    <w:p>
      <w:r>
        <w:t xml:space="preserve"/>
      </w:r>
    </w:p>
    <w:p>
      <w:r>
        <w:t xml:space="preserve">Corresponding author: Mutaz Younes, mutazyounes@gmail.com, Albany, New York, USA. Phone: [ADD PHONE].</w:t>
      </w:r>
    </w:p>
    <w:p>
      <w:r>
        <w:t xml:space="preserve"/>
      </w:r>
    </w:p>
    <w:p>
      <w:r>
        <w:t xml:space="preserve">Sincerely,</w:t>
      </w:r>
    </w:p>
    <w:p>
      <w:r>
        <w:t xml:space="preserve">Mohammad Bani Younes and Mutaz Younes</w:t>
      </w:r>
    </w:p>
  </w:body>
</w:document>
</file>