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>Highlights</w:t>
      </w:r>
    </w:p>
    <w:p>
      <w:pPr>
        <w:numPr>
          <w:ilvl w:val="0"/>
          <w:numId w:val="1"/>
        </w:numPr>
      </w:pPr>
      <w:r>
        <w:t>Query-time contiguous spans under token budget B for RAG.</w:t>
      </w:r>
    </w:p>
    <w:p>
      <w:pPr>
        <w:numPr>
          <w:ilvl w:val="0"/>
          <w:numId w:val="1"/>
        </w:numPr>
      </w:pPr>
      <w:r>
        <w:t>Pair enumeration selects at most two non-overlapping spans.</w:t>
      </w:r>
    </w:p>
    <w:p>
      <w:pPr>
        <w:numPr>
          <w:ilvl w:val="0"/>
          <w:numId w:val="1"/>
        </w:numPr>
      </w:pPr>
      <w:r>
        <w:t>Hybrid RRF leads SciFact nDCG; QALS is the low-token point.</w:t>
      </w:r>
    </w:p>
    <w:p>
      <w:pPr>
        <w:numPr>
          <w:ilvl w:val="0"/>
          <w:numId w:val="1"/>
        </w:numPr>
      </w:pPr>
      <w:r>
        <w:t>Conformal B saturates at a 2000-word cap on SciFact.</w:t>
      </w:r>
    </w:p>
    <w:p>
      <w:pPr>
        <w:numPr>
          <w:ilvl w:val="0"/>
          <w:numId w:val="1"/>
        </w:numPr>
      </w:pPr>
      <w:r>
        <w:t>Adaptive-k, late-chunk controls, and LLM eval protocol included.</w:t>
      </w:r>
    </w:p>
  </w:body>
</w:document>
</file>