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24205A"/>
          <w:sz w:val="56"/>
          <w:szCs w:val="56"/>
        </w:rPr>
        <w:t xml:space="preserve">finsus</w:t>
      </w:r>
    </w:p>
    <w:p>
      <w:pPr>
        <w:spacing w:after="60" w:before="0"/>
      </w:pPr>
      <w:r>
        <w:rPr>
          <w:rFonts w:ascii="Calibri" w:cs="Calibri" w:eastAsia="Calibri" w:hAnsi="Calibri"/>
          <w:color w:val="7E7C9C"/>
          <w:sz w:val="22"/>
          <w:szCs w:val="22"/>
        </w:rPr>
        <w:t xml:space="preserve">RFP-FINSUS-TDC-CORP-2025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4205A"/>
          <w:sz w:val="40"/>
          <w:szCs w:val="40"/>
        </w:rPr>
        <w:t xml:space="preserve">Core de lending para tarjeta de crédito corporativa</w:t>
      </w:r>
    </w:p>
    <w:p>
      <w:pPr>
        <w:spacing w:after="600" w:before="0"/>
      </w:pPr>
      <w:r>
        <w:rPr>
          <w:rFonts w:ascii="Calibri" w:cs="Calibri" w:eastAsia="Calibri" w:hAnsi="Calibri"/>
          <w:color w:val="E0442E"/>
          <w:sz w:val="28"/>
          <w:szCs w:val="28"/>
        </w:rPr>
        <w:t xml:space="preserve">Anexo B: matriz de cobertura, y plan de implementación</w:t>
      </w:r>
    </w:p>
    <w:p>
      <w:pPr>
        <w:spacing w:after="60" w:before="0"/>
      </w:pPr>
      <w:r>
        <w:rPr>
          <w:rFonts w:ascii="Calibri" w:cs="Calibri" w:eastAsia="Calibri" w:hAnsi="Calibri"/>
          <w:color w:val="24205A"/>
          <w:sz w:val="22"/>
          <w:szCs w:val="22"/>
        </w:rPr>
        <w:t xml:space="preserve">Propuesta técnica sobre la plataforma CMS Mexico y su autorizador</w:t>
      </w:r>
    </w:p>
    <w:p>
      <w:pPr>
        <w:spacing w:after="60" w:before="0"/>
      </w:pPr>
      <w:r>
        <w:rPr>
          <w:rFonts w:ascii="Calibri" w:cs="Calibri" w:eastAsia="Calibri" w:hAnsi="Calibri"/>
          <w:color w:val="7E7C9C"/>
          <w:sz w:val="20"/>
          <w:szCs w:val="20"/>
        </w:rPr>
        <w:t xml:space="preserve">Versión 1.0 · 8 de septiembre de 2026 · Uso confidencial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4205A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4205A"/>
          <w:sz w:val="30"/>
          <w:szCs w:val="30"/>
        </w:rPr>
        <w:t xml:space="preserve">1. Resumen</w:t>
      </w:r>
    </w:p>
    <w:p>
      <w:pPr>
        <w:spacing w:after="12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>Esta propuesta responde al RFP de Finsus para el core de lending de la tarjeta de crédito corporativa con una plataforma que ya opera: el CMS Mexico y su autorizador. La sección 2 es el Anexo B tal como lo pide el RFP, requerimiento por requerimiento, con el estado real de cada uno (nativo, configurable o desarrollo) y sobre qué base existente se construye lo que falta. La sección 3 es el plan de implementación: seis fases, veintiséis semanas, con entregables, hitos y criterios de aceptación, hasta el MVP en producción dentro del plazo de seis meses que fija el RFP.</w:t>
      </w:r>
    </w:p>
    <w:p>
      <w:pPr>
        <w:spacing w:after="12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>Lo que la plataforma aporta desde el primer día: emisión y ciclo de vida de tarjetas, autorizador multiproducto con ISO 8583, HSM y stand-in, fraude en línea y conexión con el gremio, aclaraciones y contracargos, plásticos, compensación y liquidación, conciliación con el core bancario, reportes sellados, seguridad con IAM y auditoría, y un sandbox completo con simuladores de core, HSM, gremio, mensajería y red. Lo que se construye: el core de lending propiamente dicho (jerarquía corporativa, líneas por nivel, facturación, pagos distribuidos, mora y cobranza), las restricciones finas por MCC, horario y comercio, el adaptador a Pomelo y los reportes de cartera.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1.1 Cobertura en cifras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00"/>
        <w:gridCol w:w="1000"/>
        <w:gridCol w:w="4080"/>
      </w:tblGrid>
      <w:tr>
        <w:trPr>
          <w:tblHeader/>
        </w:trP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Bloque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D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RF-01 a RF-05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Controles y estados de tarjeta existen; la jerarquía corporativa es nueva</w:t>
            </w:r>
          </w:p>
        </w:tc>
      </w:tr>
      <w:t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RF-06 a RF-08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El core de lending: el módulo a construir</w:t>
            </w:r>
          </w:p>
        </w:tc>
      </w:tr>
      <w:t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RF-09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Motor de reportes sellados nativo; 4 de 16 reportes hoy, 12 por agregar</w:t>
            </w:r>
          </w:p>
        </w:tc>
      </w:tr>
      <w:t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RF-10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REST, OpenAPI, clave de API y sandbox nativos; adaptador Pomelo por construir</w:t>
            </w:r>
          </w:p>
        </w:tc>
      </w:tr>
      <w:tr>
        <w:tc>
          <w:tcPr>
            <w:tcW w:type="dxa" w:w="3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RNF-01 a RNF-06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4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Seguridad y regulatorio con base sólida; alta disponibilidad, PCI nivel 1 y multi-tenant por hacer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Leyenda del RFP: </w:t>
      </w:r>
      <w:r>
        <w:rPr>
          <w:rFonts w:ascii="Calibri" w:cs="Calibri" w:eastAsia="Calibri" w:hAnsi="Calibri"/>
          <w:color w:val="7E7C9C"/>
          <w:sz w:val="21"/>
          <w:szCs w:val="21"/>
        </w:rPr>
        <w:t xml:space="preserve">N nativo, disponible sin desarrollo. C configurable, existe y se parametriza. D desarrollo, requiere construcción; se indica la base existente. Cuando un requerimiento tiene partes en distinto estado se declara el dominante y se detallan las partes.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4205A"/>
          <w:sz w:val="30"/>
          <w:szCs w:val="30"/>
        </w:rPr>
        <w:t xml:space="preserve">2. Anexo B: matriz de cobertura de requerimientos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Base de evaluación: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la plataforma desplegada en https://ac.alocashfintech.com el 8 de septiembre de 2026, con las pruebas automáticas de extremo a extremo de cada módulo en verde.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2.1 Requerimientos funcionales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780"/>
      </w:tblGrid>
      <w:tr>
        <w:trPr>
          <w:tblHeader/>
        </w:trP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Estado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Comentarios / notas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RF-01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Gestión de estructura corporativa multinivel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Hoy el modelo es cliente → tarjetas, con controles y límites por tarjeta y por producto. Falta la jerarquía cuenta madre → empresa/área → usuario (hasta 4 niveles), herencia o límite propio por nivel, conglomerados, clonación de estructuras y el portal de autogestión del administrador corporativo. Se construye sobre los módulos de clientes y controles; el portal reutiliza la consola (IAM, permisos, auditoría).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RF-02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Gestión de líneas de crédito (múltiples líneas bajo contrato)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base C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Existe la línea de crédito por tarjeta (producto CREDIT, límite y disponible en el autorizador, cambio de límite en tiempo real por API y consola con auditoría). Falta: línea global en la cuenta madre con sublímites por nivel, varias líneas por contrato (compras, efectivo, marketing, promocional), extrafinanciamiento y ampliación masiva por lote.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RF-03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Restricciones por MCC, comercio, horario, día, canal, monto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base N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Nativo por tarjeta: canal (POS, cajero, internet, sin contacto), uso internacional, aviso de viaje, límite diario, semanal y mensual; listas globales de bloqueo de comercio y país. Por construir: MCC incluido/excluido, lista blanca/negra por tarjeta y por nivel, horario y día, monto máximo por operación, número de operaciones por periodo, tarjetas de un solo uso y herencia por nivel. El autorizador ya evalúa controles antes de fondos.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RF-04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Recomposición de disponible (diaria, semanal, mensual, por ciclo)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parte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Diaria, semanal y mensual son nativas. Por construir: sin recomposición (un solo uso o crédito fijo) y recomposición al liquidar el corte, que depende del ciclo de facturación (RF-06).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RF-05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Gestión de estados de tarjeta y cuenta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parte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Estados de tarjeta nativos con transiciones controladas: nueva sin entregar (04), activa (00), pausada (05), cancelada a solicitud o por el banco (06/07), con auditoría y efecto inmediato en el autorizador. Por construir los estados de cuenta ligados a la deuda: arreglo de pago (08), cobro administrativo (11) y cobro judicial (10).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RF-06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Motor de facturación (ciclos, intereses, pago mínimo)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No existe. Núcleo del módulo de lending: calendarios de corte, intereses corrientes, sobre saldo y moratorios, tasa fija o TIIE, pago de contado, mínimo (porcentaje, monto fijo o el mayor), revolvente y MSI, estado de cuenta madre y por usuario con desglose por área y MCC, envío por correo con registro, archivo contable de salida y FECI. El ledger de doble partida y el sello de archivos existentes son la base.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RF-07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Gestión de pagos con distribución a cuentas hija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Hoy solo hay abonos por tarjeta (recarga y depósito en el core). Por construir: pago en la cuenta madre distribuido a hijas por política, pagos parciales con orden de aplicación configurable, conciliación de SPEI, ventanilla y cargo automático, historial y alerta previa a la fecha límite (reutiliza la mensajería). La conciliación con el core existente es la base.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RF-08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Gestión de mora, aging, arreglos de pago y cobranza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No existe. Aging por rangos, clasificación de cartera, reestructuras, intereses moratorios por estado, sobregiros, canceladas por mora y exportación a despachos. Se construye sobre el motor de facturación.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RF-09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Reportería operativa y contable (16 reportes)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12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Motor de reportes nativo: rango de fechas, vista previa, corrida guardada con CSV sellado SHA-256 y verificación. Cubiertos hoy: listado de tarjetas, autorizaciones denegadas, tarjetas pendientes de entrega y cambios en límites. Por agregar los 12 de cartera y lending; salida XLSX y PDF por construir (hoy CSV).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RF-10.1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API de integración con el procesador (Pomelo)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base N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Nativo: autorizador con código ISO campo 39 por REST y canal ISO 8583, consulta de disponible, stand-in con límites, estados y controles por API, PIN y CVV en HSM. Por construir: el adaptador al contrato de Pomelo (disponible, transacciones aprobadas y rechazadas, estados, PIN, restricciones) y su certificación.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RF-10.2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API de integración con sistemas internos de Finsus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parte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Core bancario nativo con Mifos X / Fineract; otro core, un adaptador sobre el mismo puerto. ERP: exportación CSV sellada nativa, layout por construir. Fraude: motor propio y gremio nativos; eventos a Sentinel por construir. Simetrik: CSV nativo, layout por acordar. Notificaciones: mensajería nativa (SMS y WhatsApp); webhooks por construir.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RF-10.3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Estándares REST, OAuth 2.0, OpenAPI 3.0, webhooks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parte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Nativo: REST sobre HTTPS, OpenAPI 3.0 con Swagger, clave de API con rotación, tokens del IAM, sandbox completo con simuladores. Por construir: OAuth 2.0 client credentials para terceros, webhooks de ciclo de vida y política de versionado con 12 meses de retrocompatibilidad.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2.2 Requerimientos no funcionales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5780"/>
      </w:tblGrid>
      <w:tr>
        <w:trPr>
          <w:tblHeader/>
        </w:trP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Estado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Comentarios / notas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Disponibilidad ≥ 99.9 %, RTO ≤ 2 h, RPO ≤ 15 min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Aplicación sin estado que admite varias instancias; hoy un solo nodo. Requiere despliegue activo/pasivo o activo/activo con Postgres gestionado (réplica y respaldos continuos), balanceo y runbooks. El stand-in cubre la caída del core.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Latencia de consulta de disponible ≤ 200 ms (P99)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El autorizador resuelve en memoria y ledger local en milisegundos; con saldo en el core depende de Mifos. Falta la prueba de carga formal a 5,000 y 50,000 cuentas.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Seguridad: PCI DSS nivel 1, cifrado, tokenización, RBAC, auditoría, secretos, pentest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certificación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Nativo: PAN cifrado AES-256-GCM con huella HMAC, PIN nunca almacenado (PVV en HSM), CVV en HSM, TLS 1.2+, RBAC vía IAM, auditoría con el usuario real, secretos por entorno y rotación de clave de API. Por hacer: certificación PCI DSS nivel 1, auditoría con sellado encadenado, certificados automatizados, pentest anual.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Escalabilidad a 50,000+ cuentas; multi-tenant; ambientes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CE9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base C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Monolito modular escalable horizontalmente con Postgres; ambientes por configuración. Por hacer: aislamiento multi-tenant por emisor, ambiente UAT de certificación y hoja de ruta de capacidad.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Cumplimiento regulatorio Banxico / CNBV / CONDUSEF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parte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Nativo para tarjetas: serie R24 de Banxico, PLD/UIF y actividad de aclaraciones CONDUSEF, con corridas selladas. Por construir: parámetros y reportes propios del crédito (CAT, comisiones y términos según circulares, cartera CNBV para SOFOM ENR).</w:t>
            </w:r>
          </w:p>
        </w:tc>
      </w:tr>
      <w:tr>
        <w:tc>
          <w:tcPr>
            <w:tcW w:type="dxa" w:w="9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Mantenibilidad y soporte: documentación, manuales, SLA, capacitación</w:t>
            </w:r>
          </w:p>
        </w:tc>
        <w:tc>
          <w:tcPr>
            <w:tcW w:type="dxa" w:w="12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FBF0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7E7C9C"/>
                <w:sz w:val="16"/>
                <w:szCs w:val="16"/>
              </w:rPr>
              <w:t xml:space="preserve">entregables D</w:t>
            </w:r>
          </w:p>
        </w:tc>
        <w:tc>
          <w:tcPr>
            <w:tcW w:type="dxa" w:w="57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Existe documentación técnica por módulo, OpenAPI, guion de demostración y pruebas automáticas de extremo a extremo. Por entregar: manuales de operación y usuario, SLA por severidad, política de actualizaciones regulatorias y plan de capacitación de 40 horas.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2.3 Casos de uso del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700"/>
        <w:gridCol w:w="2600"/>
        <w:gridCol w:w="1680"/>
      </w:tblGrid>
      <w:tr>
        <w:trPr>
          <w:tblHeader/>
        </w:trP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Cobertura hoy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Depende de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Se entrega en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Tarjeta corporativa PyME con cuenta tesorera y sublímites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Emisión, controles y límites por tarjeta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RF-01, RF-02, RF-03 (MCC), RF-06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Pago total con distribución a cuentas hija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Abonos por tarjeta y conciliación con el core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RF-07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Cierre de ciclo con intereses, pago mínimo y estado de cuenta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Ledger, mensajería y sello de archivos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RF-06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3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Bloqueo y activación desde el portal del cliente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Estados por API con efecto inmediato en el autorizador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Portal de autogestión (RF-01)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Cambio de límite de área en tiempo real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Cambio de límite por tarjeta en tiempo real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Niveles de la jerarquía (RF-01, RF-02)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5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Reporte de consumos por área, empleado y MCC</w:t>
            </w:r>
          </w:p>
        </w:tc>
        <w:tc>
          <w:tcPr>
            <w:tcW w:type="dxa" w:w="2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Motor de reportes sellados</w:t>
            </w:r>
          </w:p>
        </w:tc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Jerarquía y captura de MCC (RF-01, RF-09)</w:t>
            </w:r>
          </w:p>
        </w:tc>
        <w:tc>
          <w:tcPr>
            <w:tcW w:type="dxa" w:w="1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Fase 4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4205A"/>
          <w:sz w:val="30"/>
          <w:szCs w:val="30"/>
        </w:rPr>
        <w:t xml:space="preserve">3. Plan de implementación</w:t>
      </w:r>
    </w:p>
    <w:p>
      <w:pPr>
        <w:spacing w:after="12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>El plan lleva el MVP a producción en 26 semanas, dentro del límite de seis meses del RFP. Las fases se traslapan a propósito: el equipo de restricciones e integración con Pomelo arranca cuando la jerarquía corporativa ya está diseñada, y facturación arranca sobre la jerarquía en UAT. Cada fase termina con una demostración a Finsus y un criterio de aceptación verificable.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3.1 Cronograma por fases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300"/>
        <w:gridCol w:w="6080"/>
      </w:tblGrid>
      <w:tr>
        <w:trPr>
          <w:tblHeader/>
        </w:trP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Calendario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Alcance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Arranque y diseño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1 a 3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Kick-off, NDA y plan de proyecto acordado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Talleres de negocio: jerarquía, modelos de autorización, ciclo de facturación y políticas de pago de Finsus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Diseño detallado del módulo de lending y modelo de datos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Acceso al sandbox de Pomelo y especificación de su contrato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Ambientes de desarrollo y UAT con el sandbox completo (core, HSM, gremio, mensajería y red simulados)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Estructura corporativa y líneas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3 a 8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RF-01: jerarquía cliente / empresa / área / usuario, herencia o límite propio por nivel, conglomerados, clonación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RF-02: línea global en cuenta madre, sublímites por nivel, varias líneas por contrato, ampliación masiva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RF-05: estados de cuenta ligados a la deuda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Portal de autogestión del administrador corporativo (alta de usuarios, límites, bloqueos)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Autorizador validando disponible en todos los niveles según el modelo configurado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Restricciones, recomposición e integración con Pomelo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6 a 12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RF-03: MCC, listas por comercio, horario y día, monto por operación, número de operaciones, tarjetas de un solo uso, herencia por nivel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RF-04: sin recomposición y recomposición por ciclo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RF-10.1: adaptador a Pomelo (disponible en línea, notificación de transacciones, estados, PIN, restricciones)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RF-10.3: OAuth 2.0 client credentials, webhooks de ciclo de vida, versionado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Facturación y pagos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10 a 18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RF-06: calendarios de corte, intereses corrientes, sobre saldo y moratorios, tasa fija y TIIE, pago mínimo, revolvente, MSI, estado de cuenta madre y por usuario, envío por correo, archivo contable, FECI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RF-07: pagos en cuenta madre distribuidos a hijas, pagos parciales, conciliación SPEI / ventanilla / cargo automático, alertas previas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Integración con el core de pasivo para cargo automático (RF-10.2)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Mora, cobranza, reportes e integraciones internas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16 a 22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RF-08: aging, clasificación de cartera, reestructuras, intereses moratorios por estado, sobregiros, exportación a despachos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RF-09: los 12 reportes de cartera y lending; salida XLSX y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RF-10.2: layouts para ERP y Simetrik, eventos a Sentinel, webhooks de notificaciones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RNF-05: parámetros y reportes regulatorios del crédito (CAT, comisiones, cartera CNBV)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Endurecimiento, certificación y salida a producción</w:t>
            </w:r>
          </w:p>
        </w:tc>
        <w:tc>
          <w:tcPr>
            <w:tcW w:type="dxa" w:w="13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Semanas 20 a 26</w:t>
            </w:r>
          </w:p>
        </w:tc>
        <w:tc>
          <w:tcPr>
            <w:tcW w:type="dxa" w:w="6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RNF-01: despliegue en alta disponibilidad con Postgres gestionado, respaldos y runbooks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RNF-02: pruebas de carga a 5,000 y 50,000 cuentas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RNF-03: plan PCI DSS nivel 1, pentest, sellado encadenado de auditoría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Certificación con Pomelo y pruebas de regresión completas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UAT final, migración de datos si aplica, capacitación de 40 horas y manuales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Salida a producción del MVP y acompañamiento inicial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3.2 Entregables, hitos y criterios de aceptación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4680"/>
      </w:tblGrid>
      <w:tr>
        <w:trPr>
          <w:tblHeader/>
        </w:trP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Fase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Entregables e hitos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0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Documento de diseño aprobado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Modelo de datos de la jerarquía corporativa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Ambientes listos con acceso de Finsus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Finsus aprueba el diseño y el modelo de datos.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Módulo de estructura corporativa en UAT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Portal de autogestión versión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Casos MVP 4 y 5 demostrables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Casos MVP 4 y 5 aceptados en UAT; una PyME de prueba con tres niveles autorizando contra sublímites.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Motor de restricciones en UAT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Adaptador Pomelo funcionando en sandbox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Documentación OpenAPI actualizada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Transacciones de prueba de Pomelo autorizadas y rechazadas con la razón correcta; latencia P99 medida en sandbox.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Motor de facturación en UAT con un ciclo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Estados de cuenta corporativo e individual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Casos MVP 1, 2 y 3 demostrables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Un ciclo completo de una PyME de prueba cuadra contra el ledger: intereses, mínimo, distribución del pago y estado de cuenta validados por Finsus.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Módulo de mora y cobranza en UAT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16 reportes disponibles en el backoffice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Caso MVP 6 demostrable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Reportes cuadran contra el resumen de saldos deudores y acreedores; exportaciones aceptadas por contabilidad y conciliación.</w:t>
            </w:r>
          </w:p>
        </w:tc>
      </w:tr>
      <w:tr>
        <w:tc>
          <w:tcPr>
            <w:tcW w:type="dxa" w:w="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Ambiente productivo certificado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Manuales de operación y de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Acta de salida a producción</w:t>
            </w:r>
          </w:p>
        </w:tc>
        <w:tc>
          <w:tcPr>
            <w:tcW w:type="dxa" w:w="4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8"/>
                <w:szCs w:val="18"/>
              </w:rPr>
              <w:t xml:space="preserve">MVP en producción con los seis casos de uso aceptados y SLA de soporte vigente.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3.3 Línea de tiempo</w:t>
      </w:r>
    </w:p>
    <w:p>
      <w:pPr>
        <w:spacing w:after="12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>Semanas en las que cada fase está activa. El traslape entre fases refleja equipos trabajando en paralelo, no retrabajo.</w:t>
      </w:r>
    </w:p>
    <w:tbl>
      <w:tblPr>
        <w:tblW w:type="dxa" w:w="10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  <w:gridCol w:w="322"/>
      </w:tblGrid>
      <w:tr>
        <w:trPr>
          <w:tblHeader/>
        </w:trP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Fase / semana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3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4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5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6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7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8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9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10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11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12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13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14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15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16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17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18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19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20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21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22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23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24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25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0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1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2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3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4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7"/>
                <w:szCs w:val="17"/>
              </w:rPr>
              <w:t xml:space="preserve">Fase 5</w:t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C9CBE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  <w:tc>
          <w:tcPr>
            <w:tcW w:type="dxa" w:w="322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0442E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Hitos: </w:t>
      </w:r>
      <w:r>
        <w:rPr>
          <w:rFonts w:ascii="Calibri" w:cs="Calibri" w:eastAsia="Calibri" w:hAnsi="Calibri"/>
          <w:color w:val="7E7C9C"/>
          <w:sz w:val="21"/>
          <w:szCs w:val="21"/>
        </w:rPr>
        <w:t xml:space="preserve">semana 3 diseño aprobado · semana 8 casos MVP 4 y 5 en UAT · semana 12 Pomelo en sandbox · semana 18 primer ciclo de facturación cuadrado · semana 22 reportes y cartera · semana 26 salida a producción.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3.4 Metodología y gestión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Iteraciones de dos semanas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con demostración a Finsus al cierre de cada una y tablero compartido de avance, riesgos y decisiones.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Diseño antes de construir: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cada fase abre con talleres de negocio y cierra el diseño detallado con Finsus antes de codificar reglas de crédito o cartera.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Todo bajo control de versiones y revisión: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cada cambio con pruebas automáticas; el sandbox con simuladores permite probar sin tocar Pomelo ni el core productivo.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Un solo canal de escalación: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líder de proyecto por parte del proveedor y responsable de Medios de Pago por parte de Finsus; comité quincenal de seguimiento.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3.5 Equipo asignado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  <w:gridCol w:w="2080"/>
      </w:tblGrid>
      <w:tr>
        <w:trPr>
          <w:tblHeader/>
        </w:trP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Rol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Dedicación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Líder de proyecto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Plan, riesgos, comunicación con Finsus y Pomelo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50 %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Arquitecto de soluciones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Diseño del módulo de lending, integraciones, seguridad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50 %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Ingeniero backend (3)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Jerarquía y líneas; facturación y pagos; restricciones y Pomelo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Ingeniero frontend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Backoffice y portal de autogestión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Analista de negocio y regulatorio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Reglas de facturación, cartera, Banxico y CNBV, reportes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50 %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QA e ingeniero de pruebas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Pruebas automáticas, UAT, certificación, carga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26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DevOps y seguridad</w:t>
            </w:r>
          </w:p>
        </w:tc>
        <w:tc>
          <w:tcPr>
            <w:tcW w:type="dxa" w:w="5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Ambientes, alta disponibilidad, PCI, pentest</w:t>
            </w:r>
          </w:p>
        </w:tc>
        <w:tc>
          <w:tcPr>
            <w:tcW w:type="dxa" w:w="20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50 %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7E7C9C"/>
          <w:sz w:val="21"/>
          <w:szCs w:val="21"/>
        </w:rPr>
        <w:t xml:space="preserve">Por parte de Finsus se requiere: un responsable de producto con capacidad de decisión sobre reglas de crédito, un enlace técnico con Pomelo, un contacto de contabilidad y conciliación para los layouts, y usuarios de operación para las pruebas de aceptación (aproximadamente medio día por semana en las fases 3 a 5).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3.6 Plan de pruebas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Nivel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Qué se prueba y cómo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Unitarias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Reglas de negocio aisladas: cálculo de intereses y pago mínimo, distribución de pagos, aging, restricciones y recomposición. Se ejecutan en cada cambio.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Integración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Flujos completos con el sandbox: alta de jerarquía, autorizaciones contra sublímites, corte y estado de cuenta, pago y distribución, mora. Guiones automáticos por módulo, como los que hoy cubren emisión, autorizador, fraude, gremio, aclaraciones, plásticos, compensación y terceros.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Aceptación (UAT)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Los seis casos de uso del MVP ejecutados por usuarios de Finsus en el ambiente de UAT con datos de prueba acordados; acta de aceptación por fase.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Certificación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Casos de prueba del sandbox de Pomelo (autorización, rechazo, reversos, estados, PIN, restricciones) y de las redes cuando aplique; regresión completa antes de producción.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Carga y resiliencia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Consulta de disponible a 5,000 y 50,000 cuentas midiendo el P99 contra el límite de 200 ms; caída del core y del procesador para verificar stand-in y recuperación; respaldo y restauración dentro de RTO y RPO.</w:t>
            </w:r>
          </w:p>
        </w:tc>
      </w:tr>
      <w:tr>
        <w:tc>
          <w:tcPr>
            <w:tcW w:type="dxa" w:w="24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Seguridad</w:t>
            </w:r>
          </w:p>
        </w:tc>
        <w:tc>
          <w:tcPr>
            <w:tcW w:type="dxa" w:w="76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Pruebas de penetración sobre el ambiente de UAT antes de la salida a producción y revisión del plan PCI DSS.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3.7 Plan de capacitación</w:t>
      </w:r>
    </w:p>
    <w:p>
      <w:pPr>
        <w:spacing w:after="120" w:before="0"/>
      </w:pPr>
      <w:r>
        <w:rPr>
          <w:rFonts w:ascii="Calibri" w:cs="Calibri" w:eastAsia="Calibri" w:hAnsi="Calibri"/>
          <w:color w:val="24205A"/>
          <w:sz w:val="21"/>
          <w:szCs w:val="21"/>
        </w:rPr>
        <w:t xml:space="preserve">Cuarenta horas repartidas en tres bloques, con material y grabaciones entregados a Finsus: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Operación del backoffice (16 h):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estructura corporativa, líneas y límites, restricciones, ciclo de facturación, pagos, mora y reportes; ejercicios sobre el ambiente de UAT.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Técnico (16 h):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arquitectura, modelo de datos, APIs y OpenAPI, integración con Pomelo y sistemas internos, operación de ambientes, respaldos y monitoreo.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4205A"/>
          <w:sz w:val="21"/>
          <w:szCs w:val="21"/>
        </w:rPr>
        <w:t xml:space="preserve">Portal de autogestión y soporte a clientes (8 h): </w:t>
      </w:r>
      <w:r>
        <w:rPr>
          <w:rFonts w:ascii="Calibri" w:cs="Calibri" w:eastAsia="Calibri" w:hAnsi="Calibri"/>
          <w:color w:val="24205A"/>
          <w:sz w:val="21"/>
          <w:szCs w:val="21"/>
        </w:rPr>
        <w:t xml:space="preserve">alta de usuarios, límites y bloqueos por el administrador corporativo, preguntas frecuentes y escalación.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4205A"/>
          <w:sz w:val="25"/>
          <w:szCs w:val="25"/>
        </w:rPr>
        <w:t xml:space="preserve">3.8 Supuestos y riesgos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Supuesto o riesgo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shd w:fill="ECEDF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4205A"/>
                <w:sz w:val="18"/>
                <w:szCs w:val="18"/>
              </w:rPr>
              <w:t xml:space="preserve">Cómo se maneja</w:t>
            </w:r>
          </w:p>
        </w:tc>
      </w:tr>
      <w:t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Acceso al sandbox y a la especificación de Pomelo desde la fase 0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Es el insumo de la fase 2; si se retrasa, el adaptador se construye contra un simulador propio y se certifica en la fase 5.</w:t>
            </w:r>
          </w:p>
        </w:tc>
      </w:tr>
      <w:t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Definición de reglas de crédito y políticas de pago por Finsus en los talleres de la fase 0 y 3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 documentan y aprueban por escrito antes de codificar; cambios posteriores entran por control de cambios.</w:t>
            </w:r>
          </w:p>
        </w:tc>
      </w:tr>
      <w:t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Certificación PCI DSS nivel 1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Se entrega el plan certificado de cumplimiento en la fase 5; la certificación formal corre con el QSA que Finsus designe y sigue después de la salida a producción.</w:t>
            </w:r>
          </w:p>
        </w:tc>
      </w:tr>
      <w:t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Migración de datos de cuentas existentes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Fuera del MVP salvo que Finsus lo solicite; si aplica, se planifica en la fase 4 con extracción, carga en UAT y cuadre contable.</w:t>
            </w:r>
          </w:p>
        </w:tc>
      </w:tr>
      <w:tr>
        <w:tc>
          <w:tcPr>
            <w:tcW w:type="dxa" w:w="380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Capacidad y disponibilidad</w:t>
            </w:r>
          </w:p>
        </w:tc>
        <w:tc>
          <w:tcPr>
            <w:tcW w:type="dxa" w:w="6280"/>
            <w:tcBorders>
              <w:top w:val="single" w:color="D9DAE8" w:sz="4"/>
              <w:left w:val="single" w:color="D9DAE8" w:sz="4"/>
              <w:bottom w:val="single" w:color="D9DAE8" w:sz="4"/>
              <w:right w:val="single" w:color="D9DA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24205A"/>
                <w:sz w:val="19"/>
                <w:szCs w:val="19"/>
              </w:rPr>
              <w:t xml:space="preserve">El despliegue de alta disponibilidad se hace sobre infraestructura en la nube de Finsus o del proveedor según se acuerde en la propuesta comercial.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E7C9C"/>
        <w:sz w:val="16"/>
        <w:szCs w:val="16"/>
      </w:rPr>
      <w:t xml:space="preserve">Confidencial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AE8" w:sz="4" w:space="4"/>
      </w:pBdr>
    </w:pPr>
    <w:r>
      <w:rPr>
        <w:rFonts w:ascii="Calibri" w:cs="Calibri" w:eastAsia="Calibri" w:hAnsi="Calibri"/>
        <w:color w:val="7E7C9C"/>
        <w:sz w:val="16"/>
        <w:szCs w:val="16"/>
      </w:rPr>
      <w:t xml:space="preserve">RFP-FINSUS-TDC-CORP-2025 · Anexo B y plan de implementación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05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420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4205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E044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RFP-FINSUS-TDC-CORP-2025 · Anexo B y plan de implementación</dc:title>
  <dc:creator>CMS Mexico</dc:creator>
  <cp:lastModifiedBy>Un-named</cp:lastModifiedBy>
  <cp:revision>1</cp:revision>
  <dcterms:created xsi:type="dcterms:W3CDTF">2026-09-08T17:05:41.855Z</dcterms:created>
  <dcterms:modified xsi:type="dcterms:W3CDTF">2026-09-08T17:05:41.857Z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