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rFonts w:ascii="Aptos" w:hAnsi="Aptos"/>
          <w:b/>
          <w:i w:val="0"/>
          <w:color w:val="F97316"/>
          <w:sz w:val="22"/>
        </w:rPr>
        <w:t>BALAJI</w:t>
      </w:r>
    </w:p>
    <w:p>
      <w:pPr>
        <w:spacing w:after="80"/>
      </w:pPr>
      <w:r>
        <w:rPr>
          <w:rFonts w:ascii="Aptos" w:hAnsi="Aptos"/>
          <w:b/>
          <w:i w:val="0"/>
          <w:color w:val="102A43"/>
          <w:sz w:val="56"/>
        </w:rPr>
        <w:t>PRODUCT REQUIREMENTS DOCUMENT</w:t>
      </w:r>
    </w:p>
    <w:p>
      <w:pPr>
        <w:spacing w:after="240"/>
      </w:pPr>
      <w:r>
        <w:rPr>
          <w:rFonts w:ascii="Aptos" w:hAnsi="Aptos"/>
          <w:b w:val="0"/>
          <w:i w:val="0"/>
          <w:color w:val="2563EB"/>
          <w:sz w:val="28"/>
        </w:rPr>
        <w:t>A high-trust, animated omnichannel electronics storefront for retail and wholesale buyers</w:t>
      </w:r>
    </w:p>
    <w:p>
      <w:pPr>
        <w:spacing w:after="40"/>
      </w:pPr>
      <w:r>
        <w:rPr>
          <w:rFonts w:ascii="Aptos" w:hAnsi="Aptos"/>
          <w:b/>
          <w:i w:val="0"/>
          <w:color w:val="64748B"/>
          <w:sz w:val="19"/>
        </w:rPr>
        <w:t xml:space="preserve">Product: </w:t>
      </w:r>
      <w:r>
        <w:rPr>
          <w:rFonts w:ascii="Aptos" w:hAnsi="Aptos"/>
          <w:b w:val="0"/>
          <w:i w:val="0"/>
          <w:color w:val="172033"/>
          <w:sz w:val="19"/>
        </w:rPr>
        <w:t>Balaji Electronic Commerce Experience</w:t>
      </w:r>
    </w:p>
    <w:p>
      <w:pPr>
        <w:spacing w:after="40"/>
      </w:pPr>
      <w:r>
        <w:rPr>
          <w:rFonts w:ascii="Aptos" w:hAnsi="Aptos"/>
          <w:b/>
          <w:i w:val="0"/>
          <w:color w:val="64748B"/>
          <w:sz w:val="19"/>
        </w:rPr>
        <w:t xml:space="preserve">Version: </w:t>
      </w:r>
      <w:r>
        <w:rPr>
          <w:rFonts w:ascii="Aptos" w:hAnsi="Aptos"/>
          <w:b w:val="0"/>
          <w:i w:val="0"/>
          <w:color w:val="172033"/>
          <w:sz w:val="19"/>
        </w:rPr>
        <w:t>1.0 — proof-of-concept definition</w:t>
      </w:r>
    </w:p>
    <w:p>
      <w:pPr>
        <w:spacing w:after="40"/>
      </w:pPr>
      <w:r>
        <w:rPr>
          <w:rFonts w:ascii="Aptos" w:hAnsi="Aptos"/>
          <w:b/>
          <w:i w:val="0"/>
          <w:color w:val="64748B"/>
          <w:sz w:val="19"/>
        </w:rPr>
        <w:t xml:space="preserve">Primary market: </w:t>
      </w:r>
      <w:r>
        <w:rPr>
          <w:rFonts w:ascii="Aptos" w:hAnsi="Aptos"/>
          <w:b w:val="0"/>
          <w:i w:val="0"/>
          <w:color w:val="172033"/>
          <w:sz w:val="19"/>
        </w:rPr>
        <w:t>Pune &amp; PCMC, Maharashtra</w:t>
      </w:r>
    </w:p>
    <w:p>
      <w:pPr>
        <w:spacing w:after="40"/>
      </w:pPr>
      <w:r>
        <w:rPr>
          <w:rFonts w:ascii="Aptos" w:hAnsi="Aptos"/>
          <w:b/>
          <w:i w:val="0"/>
          <w:color w:val="64748B"/>
          <w:sz w:val="19"/>
        </w:rPr>
        <w:t xml:space="preserve">Platforms: </w:t>
      </w:r>
      <w:r>
        <w:rPr>
          <w:rFonts w:ascii="Aptos" w:hAnsi="Aptos"/>
          <w:b w:val="0"/>
          <w:i w:val="0"/>
          <w:color w:val="172033"/>
          <w:sz w:val="19"/>
        </w:rPr>
        <w:t>Responsive web, mobile web, installable PWA</w:t>
      </w:r>
    </w:p>
    <w:p>
      <w:pPr>
        <w:spacing w:after="40"/>
      </w:pPr>
      <w:r>
        <w:rPr>
          <w:rFonts w:ascii="Aptos" w:hAnsi="Aptos"/>
          <w:b/>
          <w:i w:val="0"/>
          <w:color w:val="64748B"/>
          <w:sz w:val="19"/>
        </w:rPr>
        <w:t xml:space="preserve">Audience: </w:t>
      </w:r>
      <w:r>
        <w:rPr>
          <w:rFonts w:ascii="Aptos" w:hAnsi="Aptos"/>
          <w:b w:val="0"/>
          <w:i w:val="0"/>
          <w:color w:val="172033"/>
          <w:sz w:val="19"/>
        </w:rPr>
        <w:t>Founder, product, UX, engineering, merchandising, operations</w:t>
      </w:r>
    </w:p>
    <w:p>
      <w:pPr>
        <w:spacing w:before="160" w:after="160"/>
        <w:pBdr>
          <w:bottom w:val="single" w:sz="18" w:color="06B6D4"/>
        </w:pBdr>
      </w:pPr>
    </w:p>
    <w:tbl>
      <w:tblPr>
        <w:tblW w:type="auto" w:w="0"/>
        <w:tblLayout w:type="fixed"/>
        <w:tblLook w:firstColumn="1" w:firstRow="1" w:lastColumn="0" w:lastRow="0" w:noHBand="0" w:noVBand="1" w:val="04A0"/>
      </w:tblPr>
      <w:tblGrid>
        <w:gridCol w:w="9072"/>
      </w:tblGrid>
      <w:tr>
        <w:tc>
          <w:tcPr>
            <w:tcW w:type="dxa" w:w="9648"/>
            <w:shd w:fill="E8F0FE"/>
            <w:tcMar>
              <w:top w:w="140" w:type="dxa"/>
              <w:start w:w="180" w:type="dxa"/>
              <w:bottom w:w="140" w:type="dxa"/>
              <w:end w:w="180" w:type="dxa"/>
            </w:tcMar>
          </w:tcPr>
          <w:p>
            <w:pPr>
              <w:spacing w:after="40"/>
            </w:pPr>
            <w:r>
              <w:rPr>
                <w:rFonts w:ascii="Aptos" w:hAnsi="Aptos"/>
                <w:b/>
                <w:i w:val="0"/>
                <w:color w:val="2563EB"/>
                <w:sz w:val="18"/>
              </w:rPr>
              <w:t xml:space="preserve">NORTH STAR  </w:t>
            </w:r>
            <w:r>
              <w:rPr>
                <w:rFonts w:ascii="Aptos" w:hAnsi="Aptos"/>
                <w:b w:val="0"/>
                <w:i w:val="0"/>
                <w:color w:val="172033"/>
                <w:sz w:val="20"/>
              </w:rPr>
              <w:t>Help a Pune buyer move from “I need the right electronics product” to a confident order or quote in the fewest meaningful actions—without hiding price, availability, warranty, delivery, or wholesale terms.</w:t>
            </w:r>
          </w:p>
        </w:tc>
      </w:tr>
    </w:tbl>
    <w:p>
      <w:pPr>
        <w:spacing w:after="20"/>
      </w:pPr>
    </w:p>
    <w:p>
      <w:pPr>
        <w:pStyle w:val="Heading2"/>
      </w:pPr>
      <w:r>
        <w:t>Executive decision</w:t>
      </w:r>
    </w:p>
    <w:p>
      <w:pPr>
        <w:spacing w:after="120" w:line="269" w:lineRule="auto"/>
      </w:pPr>
      <w:r>
        <w:rPr>
          <w:rFonts w:ascii="Aptos" w:hAnsi="Aptos"/>
          <w:b w:val="0"/>
          <w:i w:val="0"/>
          <w:color w:val="172033"/>
          <w:sz w:val="20"/>
        </w:rPr>
        <w:t>Build one storefront with two task modes: Retail and Wholesale. The same inventory powers both, but pricing, quantity controls, trust cues, checkout, documents, and support paths adapt after lightweight role selection. Browsing remains open; sign-in is required only for saved state, protected B2B pricing, quotes, and checkout.</w:t>
      </w:r>
    </w:p>
    <w:p>
      <w:pPr>
        <w:pStyle w:val="Heading2"/>
      </w:pPr>
      <w:r>
        <w:t>Success at a glance</w:t>
      </w:r>
    </w:p>
    <w:tbl>
      <w:tblPr>
        <w:tblW w:type="auto" w:w="0"/>
        <w:jc w:val="center"/>
        <w:tblLayout w:type="fixed"/>
        <w:tblLook w:firstColumn="1" w:firstRow="1" w:lastColumn="0" w:lastRow="0" w:noHBand="0" w:noVBand="1" w:val="04A0"/>
      </w:tblPr>
      <w:tblGrid>
        <w:gridCol w:w="3216"/>
        <w:gridCol w:w="3216"/>
        <w:gridCol w:w="3216"/>
      </w:tblGrid>
      <w:tr>
        <w:tc>
          <w:tcPr>
            <w:tcW w:type="dxa" w:w="2232"/>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Outcome</w:t>
            </w:r>
          </w:p>
        </w:tc>
        <w:tc>
          <w:tcPr>
            <w:tcW w:type="dxa" w:w="3384"/>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Proof-of-concept target</w:t>
            </w:r>
          </w:p>
        </w:tc>
        <w:tc>
          <w:tcPr>
            <w:tcW w:type="dxa" w:w="3456"/>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Guardrail</w:t>
            </w:r>
          </w:p>
        </w:tc>
      </w:tr>
      <w:tr>
        <w:tc>
          <w:tcPr>
            <w:tcW w:type="dxa" w:w="223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Findability</w:t>
            </w:r>
          </w:p>
        </w:tc>
        <w:tc>
          <w:tcPr>
            <w:tcW w:type="dxa" w:w="338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80% of test users reach a suitable product in ≤3 interactions</w:t>
            </w:r>
          </w:p>
        </w:tc>
        <w:tc>
          <w:tcPr>
            <w:tcW w:type="dxa" w:w="345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Search and category browse always visible</w:t>
            </w:r>
          </w:p>
        </w:tc>
      </w:tr>
      <w:tr>
        <w:tc>
          <w:tcPr>
            <w:tcW w:type="dxa" w:w="223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Retail conversion</w:t>
            </w:r>
          </w:p>
        </w:tc>
        <w:tc>
          <w:tcPr>
            <w:tcW w:type="dxa" w:w="338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≥3.0% checkout conversion in usability benchmark</w:t>
            </w:r>
          </w:p>
        </w:tc>
        <w:tc>
          <w:tcPr>
            <w:tcW w:type="dxa" w:w="345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No forced account before cart</w:t>
            </w:r>
          </w:p>
        </w:tc>
      </w:tr>
      <w:tr>
        <w:tc>
          <w:tcPr>
            <w:tcW w:type="dxa" w:w="223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Wholesale utility</w:t>
            </w:r>
          </w:p>
        </w:tc>
        <w:tc>
          <w:tcPr>
            <w:tcW w:type="dxa" w:w="338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Quote or bulk-cart completion ≥20% of qualified sessions</w:t>
            </w:r>
          </w:p>
        </w:tc>
        <w:tc>
          <w:tcPr>
            <w:tcW w:type="dxa" w:w="345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GST and MOQ visible before commitment</w:t>
            </w:r>
          </w:p>
        </w:tc>
      </w:tr>
      <w:tr>
        <w:tc>
          <w:tcPr>
            <w:tcW w:type="dxa" w:w="223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Performance</w:t>
            </w:r>
          </w:p>
        </w:tc>
        <w:tc>
          <w:tcPr>
            <w:tcW w:type="dxa" w:w="338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LCP ≤2.5s p75 mobile; INP ≤200ms; CLS ≤0.1</w:t>
            </w:r>
          </w:p>
        </w:tc>
        <w:tc>
          <w:tcPr>
            <w:tcW w:type="dxa" w:w="345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3D never blocks product discovery</w:t>
            </w:r>
          </w:p>
        </w:tc>
      </w:tr>
      <w:tr>
        <w:tc>
          <w:tcPr>
            <w:tcW w:type="dxa" w:w="223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Trust</w:t>
            </w:r>
          </w:p>
        </w:tc>
        <w:tc>
          <w:tcPr>
            <w:tcW w:type="dxa" w:w="338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Warranty, seller, delivery and returns visible on PDP</w:t>
            </w:r>
          </w:p>
        </w:tc>
        <w:tc>
          <w:tcPr>
            <w:tcW w:type="dxa" w:w="345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No misleading scarcity or fake reviews</w:t>
            </w:r>
          </w:p>
        </w:tc>
      </w:tr>
    </w:tbl>
    <w:p>
      <w:pPr>
        <w:spacing w:after="20"/>
      </w:pPr>
    </w:p>
    <w:p>
      <w:r>
        <w:br w:type="page"/>
      </w:r>
    </w:p>
    <w:p>
      <w:pPr>
        <w:pStyle w:val="Heading1"/>
      </w:pPr>
      <w:r>
        <w:t>1. Product vision and scope</w:t>
      </w:r>
    </w:p>
    <w:p>
      <w:pPr>
        <w:pStyle w:val="Heading2"/>
      </w:pPr>
      <w:r>
        <w:t>Problem</w:t>
      </w:r>
    </w:p>
    <w:p>
      <w:pPr>
        <w:spacing w:after="120" w:line="269" w:lineRule="auto"/>
      </w:pPr>
      <w:r>
        <w:rPr>
          <w:rFonts w:ascii="Aptos" w:hAnsi="Aptos"/>
          <w:b w:val="0"/>
          <w:i w:val="0"/>
          <w:color w:val="172033"/>
          <w:sz w:val="20"/>
        </w:rPr>
        <w:t>Electronics shopping creates high cognitive load: similar model numbers, technical specifications, uncertain compatibility, hidden installation costs, warranty anxiety, and price comparison. Wholesale buyers add MOQ, tier pricing, GST documentation, repeat ordering, approval, and delivery coordination. Most storefronts force both audiences through the same flow.</w:t>
      </w:r>
    </w:p>
    <w:p>
      <w:pPr>
        <w:pStyle w:val="Heading2"/>
      </w:pPr>
      <w:r>
        <w:t>Vision</w:t>
      </w:r>
    </w:p>
    <w:p>
      <w:pPr>
        <w:spacing w:after="120" w:line="269" w:lineRule="auto"/>
      </w:pPr>
      <w:r>
        <w:rPr>
          <w:rFonts w:ascii="Aptos" w:hAnsi="Aptos"/>
          <w:b w:val="0"/>
          <w:i w:val="0"/>
          <w:color w:val="172033"/>
          <w:sz w:val="20"/>
        </w:rPr>
        <w:t>Balaji Electronic becomes Pune’s most helpful digital electronics counter: visually premium, locally credible, unusually clear about money and fulfilment, and fast enough for practical daily use. Motion and 3D communicate product form and system state; they are not decorative delays.</w:t>
      </w:r>
    </w:p>
    <w:p>
      <w:pPr>
        <w:pStyle w:val="Heading2"/>
      </w:pPr>
      <w:r>
        <w:t>In scope for POC</w:t>
      </w:r>
    </w:p>
    <w:p>
      <w:pPr>
        <w:pStyle w:val="ListBullet"/>
        <w:spacing w:after="60" w:line="259" w:lineRule="auto"/>
        <w:ind w:left="360" w:hanging="259"/>
      </w:pPr>
      <w:r>
        <w:rPr>
          <w:rFonts w:ascii="Aptos" w:hAnsi="Aptos"/>
          <w:b w:val="0"/>
          <w:i w:val="0"/>
          <w:color w:val="172033"/>
          <w:sz w:val="19"/>
        </w:rPr>
        <w:t>Responsive landing, category, search, listing, comparison, product detail, cart, checkout, order confirmation and account surfaces.</w:t>
      </w:r>
    </w:p>
    <w:p>
      <w:pPr>
        <w:pStyle w:val="ListBullet"/>
        <w:spacing w:after="60" w:line="259" w:lineRule="auto"/>
        <w:ind w:left="360" w:hanging="259"/>
      </w:pPr>
      <w:r>
        <w:rPr>
          <w:rFonts w:ascii="Aptos" w:hAnsi="Aptos"/>
          <w:b w:val="0"/>
          <w:i w:val="0"/>
          <w:color w:val="172033"/>
          <w:sz w:val="19"/>
        </w:rPr>
        <w:t>Retail/Wholesale mode selection and task-based authentication; protected wholesale price tiers and quote workflow.</w:t>
      </w:r>
    </w:p>
    <w:p>
      <w:pPr>
        <w:pStyle w:val="ListBullet"/>
        <w:spacing w:after="60" w:line="259" w:lineRule="auto"/>
        <w:ind w:left="360" w:hanging="259"/>
      </w:pPr>
      <w:r>
        <w:rPr>
          <w:rFonts w:ascii="Aptos" w:hAnsi="Aptos"/>
          <w:b w:val="0"/>
          <w:i w:val="0"/>
          <w:color w:val="172033"/>
          <w:sz w:val="19"/>
        </w:rPr>
        <w:t>500 seeded products across 20 categories; dummy prices, stock, media, specifications, ratings and fulfilment.</w:t>
      </w:r>
    </w:p>
    <w:p>
      <w:pPr>
        <w:pStyle w:val="ListBullet"/>
        <w:spacing w:after="60" w:line="259" w:lineRule="auto"/>
        <w:ind w:left="360" w:hanging="259"/>
      </w:pPr>
      <w:r>
        <w:rPr>
          <w:rFonts w:ascii="Aptos" w:hAnsi="Aptos"/>
          <w:b w:val="0"/>
          <w:i w:val="0"/>
          <w:color w:val="172033"/>
          <w:sz w:val="19"/>
        </w:rPr>
        <w:t>Bookmarks/wishlist, recently viewed, comparison, saved carts, replenishment lists and shareable inventory QR.</w:t>
      </w:r>
    </w:p>
    <w:p>
      <w:pPr>
        <w:pStyle w:val="ListBullet"/>
        <w:spacing w:after="60" w:line="259" w:lineRule="auto"/>
        <w:ind w:left="360" w:hanging="259"/>
      </w:pPr>
      <w:r>
        <w:rPr>
          <w:rFonts w:ascii="Aptos" w:hAnsi="Aptos"/>
          <w:b w:val="0"/>
          <w:i w:val="0"/>
          <w:color w:val="172033"/>
          <w:sz w:val="19"/>
        </w:rPr>
        <w:t>Site Guide Bot that explains navigation, products, compatibility, policies and current screen; safe handoff to human support.</w:t>
      </w:r>
    </w:p>
    <w:p>
      <w:pPr>
        <w:pStyle w:val="ListBullet"/>
        <w:spacing w:after="60" w:line="259" w:lineRule="auto"/>
        <w:ind w:left="360" w:hanging="259"/>
      </w:pPr>
      <w:r>
        <w:rPr>
          <w:rFonts w:ascii="Aptos" w:hAnsi="Aptos"/>
          <w:b w:val="0"/>
          <w:i w:val="0"/>
          <w:color w:val="172033"/>
          <w:sz w:val="19"/>
        </w:rPr>
        <w:t>Payment-link-forward checkout, UPI/cards/net banking/wallets/COD configuration, EMI messaging, GST invoice, delivery slot and installation.</w:t>
      </w:r>
    </w:p>
    <w:p>
      <w:pPr>
        <w:pStyle w:val="ListBullet"/>
        <w:spacing w:after="60" w:line="259" w:lineRule="auto"/>
        <w:ind w:left="360" w:hanging="259"/>
      </w:pPr>
      <w:r>
        <w:rPr>
          <w:rFonts w:ascii="Aptos" w:hAnsi="Aptos"/>
          <w:b w:val="0"/>
          <w:i w:val="0"/>
          <w:color w:val="172033"/>
          <w:sz w:val="19"/>
        </w:rPr>
        <w:t>Accessible, reduced-motion, low-data and low-power modes.</w:t>
      </w:r>
    </w:p>
    <w:p>
      <w:pPr>
        <w:pStyle w:val="Heading2"/>
      </w:pPr>
      <w:r>
        <w:t>Explicitly out of scope for POC</w:t>
      </w:r>
    </w:p>
    <w:p>
      <w:pPr>
        <w:pStyle w:val="ListBullet"/>
        <w:spacing w:after="60" w:line="259" w:lineRule="auto"/>
        <w:ind w:left="360" w:hanging="259"/>
      </w:pPr>
      <w:r>
        <w:rPr>
          <w:rFonts w:ascii="Aptos" w:hAnsi="Aptos"/>
          <w:b w:val="0"/>
          <w:i w:val="0"/>
          <w:color w:val="172033"/>
          <w:sz w:val="19"/>
        </w:rPr>
        <w:t>Real payment capture, ERP reconciliation, production courier booking and live tax filing.</w:t>
      </w:r>
    </w:p>
    <w:p>
      <w:pPr>
        <w:pStyle w:val="ListBullet"/>
        <w:spacing w:after="60" w:line="259" w:lineRule="auto"/>
        <w:ind w:left="360" w:hanging="259"/>
      </w:pPr>
      <w:r>
        <w:rPr>
          <w:rFonts w:ascii="Aptos" w:hAnsi="Aptos"/>
          <w:b w:val="0"/>
          <w:i w:val="0"/>
          <w:color w:val="172033"/>
          <w:sz w:val="19"/>
        </w:rPr>
        <w:t>Scraping or republishing third-party seller images, prices or claims without permission.</w:t>
      </w:r>
    </w:p>
    <w:p>
      <w:pPr>
        <w:pStyle w:val="ListBullet"/>
        <w:spacing w:after="60" w:line="259" w:lineRule="auto"/>
        <w:ind w:left="360" w:hanging="259"/>
      </w:pPr>
      <w:r>
        <w:rPr>
          <w:rFonts w:ascii="Aptos" w:hAnsi="Aptos"/>
          <w:b w:val="0"/>
          <w:i w:val="0"/>
          <w:color w:val="172033"/>
          <w:sz w:val="19"/>
        </w:rPr>
        <w:t>Native iOS/Android apps; PWA covers installability in phase one.</w:t>
      </w:r>
    </w:p>
    <w:p>
      <w:pPr>
        <w:pStyle w:val="ListBullet"/>
        <w:spacing w:after="60" w:line="259" w:lineRule="auto"/>
        <w:ind w:left="360" w:hanging="259"/>
      </w:pPr>
      <w:r>
        <w:rPr>
          <w:rFonts w:ascii="Aptos" w:hAnsi="Aptos"/>
          <w:b w:val="0"/>
          <w:i w:val="0"/>
          <w:color w:val="172033"/>
          <w:sz w:val="19"/>
        </w:rPr>
        <w:t>Autonomous bot refunds, price commitments, or warranty adjudication.</w:t>
      </w:r>
    </w:p>
    <w:p>
      <w:pPr>
        <w:pStyle w:val="Heading2"/>
      </w:pPr>
      <w:r>
        <w:t>Assumptions to validate</w:t>
      </w:r>
    </w:p>
    <w:p>
      <w:pPr>
        <w:spacing w:after="120" w:line="269" w:lineRule="auto"/>
      </w:pPr>
      <w:r>
        <w:rPr>
          <w:rFonts w:ascii="Aptos" w:hAnsi="Aptos"/>
          <w:b w:val="0"/>
          <w:i w:val="0"/>
          <w:color w:val="172033"/>
          <w:sz w:val="20"/>
        </w:rPr>
        <w:t>Balaji operates or intends to operate from Pune; final store address, legal entity name, GSTIN, warehouse coverage, service partners, brand authorizations, returns policy and payment provider are not yet supplied. All such fields must remain clearly marked placeholders until verified.</w:t>
      </w:r>
    </w:p>
    <w:p>
      <w:r>
        <w:br w:type="page"/>
      </w:r>
    </w:p>
    <w:p>
      <w:pPr>
        <w:pStyle w:val="Heading1"/>
      </w:pPr>
      <w:r>
        <w:t>2. Market and audience insight</w:t>
      </w:r>
    </w:p>
    <w:p>
      <w:pPr>
        <w:pStyle w:val="Heading2"/>
      </w:pPr>
      <w:r>
        <w:t>Pune market signal</w:t>
      </w:r>
    </w:p>
    <w:p>
      <w:pPr>
        <w:spacing w:after="120" w:line="269" w:lineRule="auto"/>
      </w:pPr>
      <w:r>
        <w:rPr>
          <w:rFonts w:ascii="Aptos" w:hAnsi="Aptos"/>
          <w:b w:val="0"/>
          <w:i w:val="0"/>
          <w:color w:val="172033"/>
          <w:sz w:val="20"/>
        </w:rPr>
        <w:t>The local scan shows broad demand spanning TVs, cooling, major appliances, kitchen products, mobiles, computing and accessories. Pune-based B2B distributors emphasize dealer registration, GST billing, bulk supply, protected pricing and relationship management. Computing specialists add components, custom PCs and peripherals. Community references repeatedly point to Budhwar Peth/Tapkir Galli for components; treat that as directional qualitative evidence, not a verified merchant directory.</w:t>
      </w:r>
    </w:p>
    <w:tbl>
      <w:tblPr>
        <w:tblW w:type="auto" w:w="0"/>
        <w:tblLayout w:type="fixed"/>
        <w:tblLook w:firstColumn="1" w:firstRow="1" w:lastColumn="0" w:lastRow="0" w:noHBand="0" w:noVBand="1" w:val="04A0"/>
      </w:tblPr>
      <w:tblGrid>
        <w:gridCol w:w="9072"/>
      </w:tblGrid>
      <w:tr>
        <w:tc>
          <w:tcPr>
            <w:tcW w:type="dxa" w:w="9648"/>
            <w:shd w:fill="E8F0FE"/>
            <w:tcMar>
              <w:top w:w="140" w:type="dxa"/>
              <w:start w:w="180" w:type="dxa"/>
              <w:bottom w:w="140" w:type="dxa"/>
              <w:end w:w="180" w:type="dxa"/>
            </w:tcMar>
          </w:tcPr>
          <w:p>
            <w:pPr>
              <w:spacing w:after="40"/>
            </w:pPr>
            <w:r>
              <w:rPr>
                <w:rFonts w:ascii="Aptos" w:hAnsi="Aptos"/>
                <w:b/>
                <w:i w:val="0"/>
                <w:color w:val="2563EB"/>
                <w:sz w:val="18"/>
              </w:rPr>
              <w:t xml:space="preserve">PRODUCT IMPLICATION  </w:t>
            </w:r>
            <w:r>
              <w:rPr>
                <w:rFonts w:ascii="Aptos" w:hAnsi="Aptos"/>
                <w:b w:val="0"/>
                <w:i w:val="0"/>
                <w:color w:val="172033"/>
                <w:sz w:val="20"/>
              </w:rPr>
              <w:t>The home page must feel like a premium retailer, while wholesale tools must behave like a procurement console. The catalog taxonomy must accommodate both boxed consumer goods and compatibility-sensitive parts.</w:t>
            </w:r>
          </w:p>
        </w:tc>
      </w:tr>
    </w:tbl>
    <w:p>
      <w:pPr>
        <w:spacing w:after="20"/>
      </w:pPr>
    </w:p>
    <w:p>
      <w:pPr>
        <w:pStyle w:val="Heading2"/>
      </w:pPr>
      <w:r>
        <w:t>Primary personas and jobs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800"/>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Persona</w:t>
            </w:r>
          </w:p>
        </w:tc>
        <w:tc>
          <w:tcPr>
            <w:tcW w:type="dxa" w:w="2736"/>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Job to be done</w:t>
            </w:r>
          </w:p>
        </w:tc>
        <w:tc>
          <w:tcPr>
            <w:tcW w:type="dxa" w:w="2520"/>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Decision cues</w:t>
            </w:r>
          </w:p>
        </w:tc>
        <w:tc>
          <w:tcPr>
            <w:tcW w:type="dxa" w:w="2376"/>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Fast path</w:t>
            </w:r>
          </w:p>
        </w:tc>
      </w:tr>
      <w:tr>
        <w:tc>
          <w:tcPr>
            <w:tcW w:type="dxa" w:w="180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Retail upgrader</w:t>
            </w:r>
          </w:p>
        </w:tc>
        <w:tc>
          <w:tcPr>
            <w:tcW w:type="dxa" w:w="273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Choose a trustworthy appliance or device for home</w:t>
            </w:r>
          </w:p>
        </w:tc>
        <w:tc>
          <w:tcPr>
            <w:tcW w:type="dxa" w:w="252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Final payable price, delivery, installation, warranty, exchange, EMI</w:t>
            </w:r>
          </w:p>
        </w:tc>
        <w:tc>
          <w:tcPr>
            <w:tcW w:type="dxa" w:w="237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Search → compare → PDP → Buy now</w:t>
            </w:r>
          </w:p>
        </w:tc>
      </w:tr>
      <w:tr>
        <w:tc>
          <w:tcPr>
            <w:tcW w:type="dxa" w:w="180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Value seeker</w:t>
            </w:r>
          </w:p>
        </w:tc>
        <w:tc>
          <w:tcPr>
            <w:tcW w:type="dxa" w:w="273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Find the best fit inside a budget</w:t>
            </w:r>
          </w:p>
        </w:tc>
        <w:tc>
          <w:tcPr>
            <w:tcW w:type="dxa" w:w="252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Deal clarity, price history label, reviews, alternatives</w:t>
            </w:r>
          </w:p>
        </w:tc>
        <w:tc>
          <w:tcPr>
            <w:tcW w:type="dxa" w:w="237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Budget chip → shortlist → compare</w:t>
            </w:r>
          </w:p>
        </w:tc>
      </w:tr>
      <w:tr>
        <w:tc>
          <w:tcPr>
            <w:tcW w:type="dxa" w:w="180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Retailer/dealer</w:t>
            </w:r>
          </w:p>
        </w:tc>
        <w:tc>
          <w:tcPr>
            <w:tcW w:type="dxa" w:w="273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Replenish multiple SKUs profitably</w:t>
            </w:r>
          </w:p>
        </w:tc>
        <w:tc>
          <w:tcPr>
            <w:tcW w:type="dxa" w:w="252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Dealer price, MOQ, slabs, stock, GST, ETA</w:t>
            </w:r>
          </w:p>
        </w:tc>
        <w:tc>
          <w:tcPr>
            <w:tcW w:type="dxa" w:w="237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Wholesale mode → quick order → quote/pay</w:t>
            </w:r>
          </w:p>
        </w:tc>
      </w:tr>
      <w:tr>
        <w:tc>
          <w:tcPr>
            <w:tcW w:type="dxa" w:w="180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SME/institution</w:t>
            </w:r>
          </w:p>
        </w:tc>
        <w:tc>
          <w:tcPr>
            <w:tcW w:type="dxa" w:w="273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Buy a configured bundle with approval</w:t>
            </w:r>
          </w:p>
        </w:tc>
        <w:tc>
          <w:tcPr>
            <w:tcW w:type="dxa" w:w="252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Formal quote, tax invoice, delivery plan, support SLA</w:t>
            </w:r>
          </w:p>
        </w:tc>
        <w:tc>
          <w:tcPr>
            <w:tcW w:type="dxa" w:w="237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Use-case bundle → quote → approval</w:t>
            </w:r>
          </w:p>
        </w:tc>
      </w:tr>
      <w:tr>
        <w:tc>
          <w:tcPr>
            <w:tcW w:type="dxa" w:w="180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Maker/technician</w:t>
            </w:r>
          </w:p>
        </w:tc>
        <w:tc>
          <w:tcPr>
            <w:tcW w:type="dxa" w:w="273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Find compatible parts quickly</w:t>
            </w:r>
          </w:p>
        </w:tc>
        <w:tc>
          <w:tcPr>
            <w:tcW w:type="dxa" w:w="252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Voltage, connector, dimensions, datasheet, pickup</w:t>
            </w:r>
          </w:p>
        </w:tc>
        <w:tc>
          <w:tcPr>
            <w:tcW w:type="dxa" w:w="237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Part search → compatibility → pickup</w:t>
            </w:r>
          </w:p>
        </w:tc>
      </w:tr>
    </w:tbl>
    <w:p>
      <w:pPr>
        <w:spacing w:after="20"/>
      </w:pPr>
    </w:p>
    <w:p>
      <w:pPr>
        <w:pStyle w:val="Heading2"/>
      </w:pPr>
      <w:r>
        <w:t>Psychology principles—ethical use</w:t>
      </w:r>
    </w:p>
    <w:p>
      <w:pPr>
        <w:pStyle w:val="ListBullet"/>
        <w:spacing w:after="60" w:line="259" w:lineRule="auto"/>
        <w:ind w:left="360" w:hanging="259"/>
      </w:pPr>
      <w:r>
        <w:rPr>
          <w:rFonts w:ascii="Aptos" w:hAnsi="Aptos"/>
          <w:b w:val="0"/>
          <w:i w:val="0"/>
          <w:color w:val="172033"/>
          <w:sz w:val="19"/>
        </w:rPr>
        <w:t>Recognition over recall: persistent search, recent queries, visually distinct categories and remembered mode.</w:t>
      </w:r>
    </w:p>
    <w:p>
      <w:pPr>
        <w:pStyle w:val="ListBullet"/>
        <w:spacing w:after="60" w:line="259" w:lineRule="auto"/>
        <w:ind w:left="360" w:hanging="259"/>
      </w:pPr>
      <w:r>
        <w:rPr>
          <w:rFonts w:ascii="Aptos" w:hAnsi="Aptos"/>
          <w:b w:val="0"/>
          <w:i w:val="0"/>
          <w:color w:val="172033"/>
          <w:sz w:val="19"/>
        </w:rPr>
        <w:t>Choice architecture: lead with use-case and budget filters; progressively disclose expert specifications.</w:t>
      </w:r>
    </w:p>
    <w:p>
      <w:pPr>
        <w:pStyle w:val="ListBullet"/>
        <w:spacing w:after="60" w:line="259" w:lineRule="auto"/>
        <w:ind w:left="360" w:hanging="259"/>
      </w:pPr>
      <w:r>
        <w:rPr>
          <w:rFonts w:ascii="Aptos" w:hAnsi="Aptos"/>
          <w:b w:val="0"/>
          <w:i w:val="0"/>
          <w:color w:val="172033"/>
          <w:sz w:val="19"/>
        </w:rPr>
        <w:t>Hick’s law: one dominant CTA per decision state; secondary actions visibly secondary.</w:t>
      </w:r>
    </w:p>
    <w:p>
      <w:pPr>
        <w:pStyle w:val="ListBullet"/>
        <w:spacing w:after="60" w:line="259" w:lineRule="auto"/>
        <w:ind w:left="360" w:hanging="259"/>
      </w:pPr>
      <w:r>
        <w:rPr>
          <w:rFonts w:ascii="Aptos" w:hAnsi="Aptos"/>
          <w:b w:val="0"/>
          <w:i w:val="0"/>
          <w:color w:val="172033"/>
          <w:sz w:val="19"/>
        </w:rPr>
        <w:t>Fitts’s law: 44×44 px minimum targets; mobile primary CTA in thumb-reachable sticky bottom bar.</w:t>
      </w:r>
    </w:p>
    <w:p>
      <w:pPr>
        <w:pStyle w:val="ListBullet"/>
        <w:spacing w:after="60" w:line="259" w:lineRule="auto"/>
        <w:ind w:left="360" w:hanging="259"/>
      </w:pPr>
      <w:r>
        <w:rPr>
          <w:rFonts w:ascii="Aptos" w:hAnsi="Aptos"/>
          <w:b w:val="0"/>
          <w:i w:val="0"/>
          <w:color w:val="172033"/>
          <w:sz w:val="19"/>
        </w:rPr>
        <w:t>Peak-end effect: make delivery promise, payment confirmation and post-purchase next steps exceptionally clear.</w:t>
      </w:r>
    </w:p>
    <w:p>
      <w:pPr>
        <w:pStyle w:val="ListBullet"/>
        <w:spacing w:after="60" w:line="259" w:lineRule="auto"/>
        <w:ind w:left="360" w:hanging="259"/>
      </w:pPr>
      <w:r>
        <w:rPr>
          <w:rFonts w:ascii="Aptos" w:hAnsi="Aptos"/>
          <w:b w:val="0"/>
          <w:i w:val="0"/>
          <w:color w:val="172033"/>
          <w:sz w:val="19"/>
        </w:rPr>
        <w:t>Loss aversion without manipulation: use verified inventory and offer expiry only when sourced from real systems.</w:t>
      </w:r>
    </w:p>
    <w:p>
      <w:pPr>
        <w:pStyle w:val="ListBullet"/>
        <w:spacing w:after="60" w:line="259" w:lineRule="auto"/>
        <w:ind w:left="360" w:hanging="259"/>
      </w:pPr>
      <w:r>
        <w:rPr>
          <w:rFonts w:ascii="Aptos" w:hAnsi="Aptos"/>
          <w:b w:val="0"/>
          <w:i w:val="0"/>
          <w:color w:val="172033"/>
          <w:sz w:val="19"/>
        </w:rPr>
        <w:t>Trust transfer: show authorized-brand status only when documented; display warranty owner and installation responsibility.</w:t>
      </w:r>
    </w:p>
    <w:p>
      <w:r>
        <w:br w:type="page"/>
      </w:r>
    </w:p>
    <w:p>
      <w:pPr>
        <w:pStyle w:val="Heading1"/>
      </w:pPr>
      <w:r>
        <w:t>3. Experience architecture</w:t>
      </w:r>
    </w:p>
    <w:p>
      <w:pPr>
        <w:pStyle w:val="Heading2"/>
      </w:pPr>
      <w:r>
        <w:t>Global navigation</w:t>
      </w:r>
    </w:p>
    <w:tbl>
      <w:tblPr>
        <w:tblW w:type="auto" w:w="0"/>
        <w:jc w:val="center"/>
        <w:tblLayout w:type="fixed"/>
        <w:tblLook w:firstColumn="1" w:firstRow="1" w:lastColumn="0" w:lastRow="0" w:noHBand="0" w:noVBand="1" w:val="04A0"/>
      </w:tblPr>
      <w:tblGrid>
        <w:gridCol w:w="3216"/>
        <w:gridCol w:w="3216"/>
        <w:gridCol w:w="3216"/>
      </w:tblGrid>
      <w:tr>
        <w:tc>
          <w:tcPr>
            <w:tcW w:type="dxa" w:w="1800"/>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Area</w:t>
            </w:r>
          </w:p>
        </w:tc>
        <w:tc>
          <w:tcPr>
            <w:tcW w:type="dxa" w:w="3672"/>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Desktop</w:t>
            </w:r>
          </w:p>
        </w:tc>
        <w:tc>
          <w:tcPr>
            <w:tcW w:type="dxa" w:w="3672"/>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Mobile</w:t>
            </w:r>
          </w:p>
        </w:tc>
      </w:tr>
      <w:tr>
        <w:tc>
          <w:tcPr>
            <w:tcW w:type="dxa" w:w="180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Header</w:t>
            </w:r>
          </w:p>
        </w:tc>
        <w:tc>
          <w:tcPr>
            <w:tcW w:type="dxa" w:w="36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Logo, delivery location, large search, mode switch, account, bookmark, cart</w:t>
            </w:r>
          </w:p>
        </w:tc>
        <w:tc>
          <w:tcPr>
            <w:tcW w:type="dxa" w:w="36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Compact logo, search trigger, mode pill, bookmark, cart</w:t>
            </w:r>
          </w:p>
        </w:tc>
      </w:tr>
      <w:tr>
        <w:tc>
          <w:tcPr>
            <w:tcW w:type="dxa" w:w="180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Category access</w:t>
            </w:r>
          </w:p>
        </w:tc>
        <w:tc>
          <w:tcPr>
            <w:tcW w:type="dxa" w:w="36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Mega menu grouped by use case and department</w:t>
            </w:r>
          </w:p>
        </w:tc>
        <w:tc>
          <w:tcPr>
            <w:tcW w:type="dxa" w:w="36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Bottom-sheet category browser</w:t>
            </w:r>
          </w:p>
        </w:tc>
      </w:tr>
      <w:tr>
        <w:tc>
          <w:tcPr>
            <w:tcW w:type="dxa" w:w="180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Primary mobile nav</w:t>
            </w:r>
          </w:p>
        </w:tc>
        <w:tc>
          <w:tcPr>
            <w:tcW w:type="dxa" w:w="36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Not required</w:t>
            </w:r>
          </w:p>
        </w:tc>
        <w:tc>
          <w:tcPr>
            <w:tcW w:type="dxa" w:w="36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Home, Categories, Search, Saved, Account</w:t>
            </w:r>
          </w:p>
        </w:tc>
      </w:tr>
      <w:tr>
        <w:tc>
          <w:tcPr>
            <w:tcW w:type="dxa" w:w="180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Urgent utility</w:t>
            </w:r>
          </w:p>
        </w:tc>
        <w:tc>
          <w:tcPr>
            <w:tcW w:type="dxa" w:w="36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Running announcement rail with pause control</w:t>
            </w:r>
          </w:p>
        </w:tc>
        <w:tc>
          <w:tcPr>
            <w:tcW w:type="dxa" w:w="36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Single-line swipe rail with pause</w:t>
            </w:r>
          </w:p>
        </w:tc>
      </w:tr>
      <w:tr>
        <w:tc>
          <w:tcPr>
            <w:tcW w:type="dxa" w:w="180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Help</w:t>
            </w:r>
          </w:p>
        </w:tc>
        <w:tc>
          <w:tcPr>
            <w:tcW w:type="dxa" w:w="36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Floating Site Guide Bot; never covers CTA</w:t>
            </w:r>
          </w:p>
        </w:tc>
        <w:tc>
          <w:tcPr>
            <w:tcW w:type="dxa" w:w="36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Docked help orb above sticky CTA</w:t>
            </w:r>
          </w:p>
        </w:tc>
      </w:tr>
    </w:tbl>
    <w:p>
      <w:pPr>
        <w:spacing w:after="20"/>
      </w:pPr>
    </w:p>
    <w:p>
      <w:pPr>
        <w:pStyle w:val="Heading2"/>
      </w:pPr>
      <w:r>
        <w:t>Minimum-click task routes</w:t>
      </w:r>
    </w:p>
    <w:p>
      <w:pPr>
        <w:pStyle w:val="ListNumber"/>
        <w:spacing w:after="60" w:line="259" w:lineRule="auto"/>
        <w:ind w:left="360" w:hanging="259"/>
      </w:pPr>
      <w:r>
        <w:rPr>
          <w:rFonts w:ascii="Aptos" w:hAnsi="Aptos"/>
          <w:b w:val="0"/>
          <w:i w:val="0"/>
          <w:color w:val="172033"/>
          <w:sz w:val="19"/>
        </w:rPr>
        <w:t>Known product: focus search on load → autocomplete → product → Buy now → payment.</w:t>
      </w:r>
    </w:p>
    <w:p>
      <w:pPr>
        <w:pStyle w:val="ListNumber"/>
        <w:spacing w:after="60" w:line="259" w:lineRule="auto"/>
        <w:ind w:left="360" w:hanging="259"/>
      </w:pPr>
      <w:r>
        <w:rPr>
          <w:rFonts w:ascii="Aptos" w:hAnsi="Aptos"/>
          <w:b w:val="0"/>
          <w:i w:val="0"/>
          <w:color w:val="172033"/>
          <w:sz w:val="19"/>
        </w:rPr>
        <w:t>Exploratory retail: use-case tile → pre-filtered listing → compare up to 4 → product/cart.</w:t>
      </w:r>
    </w:p>
    <w:p>
      <w:pPr>
        <w:pStyle w:val="ListNumber"/>
        <w:spacing w:after="60" w:line="259" w:lineRule="auto"/>
        <w:ind w:left="360" w:hanging="259"/>
      </w:pPr>
      <w:r>
        <w:rPr>
          <w:rFonts w:ascii="Aptos" w:hAnsi="Aptos"/>
          <w:b w:val="0"/>
          <w:i w:val="0"/>
          <w:color w:val="172033"/>
          <w:sz w:val="19"/>
        </w:rPr>
        <w:t>Wholesale repeat: sign in → Repeat order → edit quantities → pay or request quote.</w:t>
      </w:r>
    </w:p>
    <w:p>
      <w:pPr>
        <w:pStyle w:val="ListNumber"/>
        <w:spacing w:after="60" w:line="259" w:lineRule="auto"/>
        <w:ind w:left="360" w:hanging="259"/>
      </w:pPr>
      <w:r>
        <w:rPr>
          <w:rFonts w:ascii="Aptos" w:hAnsi="Aptos"/>
          <w:b w:val="0"/>
          <w:i w:val="0"/>
          <w:color w:val="172033"/>
          <w:sz w:val="19"/>
        </w:rPr>
        <w:t>Inventory sharing: tap Share inventory → scope selection → QR/link → recipient opens live filtered catalog.</w:t>
      </w:r>
    </w:p>
    <w:p>
      <w:pPr>
        <w:pStyle w:val="ListNumber"/>
        <w:spacing w:after="60" w:line="259" w:lineRule="auto"/>
        <w:ind w:left="360" w:hanging="259"/>
      </w:pPr>
      <w:r>
        <w:rPr>
          <w:rFonts w:ascii="Aptos" w:hAnsi="Aptos"/>
          <w:b w:val="0"/>
          <w:i w:val="0"/>
          <w:color w:val="172033"/>
          <w:sz w:val="19"/>
        </w:rPr>
        <w:t>Support: Site Guide suggests the next action based on current page and preserves context during human handoff.</w:t>
      </w:r>
    </w:p>
    <w:p>
      <w:pPr>
        <w:pStyle w:val="Heading2"/>
      </w:pPr>
      <w:r>
        <w:t>Information architecture</w:t>
      </w:r>
    </w:p>
    <w:p>
      <w:pPr>
        <w:spacing w:after="120" w:line="269" w:lineRule="auto"/>
      </w:pPr>
      <w:r>
        <w:rPr>
          <w:rFonts w:ascii="Aptos" w:hAnsi="Aptos"/>
          <w:b w:val="0"/>
          <w:i w:val="0"/>
          <w:color w:val="172033"/>
          <w:sz w:val="20"/>
        </w:rPr>
        <w:t>Home → department/category → search/listing → compare → product → cart → checkout → payment/result → order tracking. Account contains profile, addresses, GST/business profile, orders, quotes, invoices, bookmarks, saved carts, replenishment lists, alerts and support. Content includes buying guides, compatibility explainers, warranty/returns, installation and Pune delivery coverage.</w:t>
      </w:r>
    </w:p>
    <w:p>
      <w:pPr>
        <w:pStyle w:val="Heading2"/>
      </w:pPr>
      <w:r>
        <w:t>Retail vs wholesale behavior</w:t>
      </w:r>
    </w:p>
    <w:tbl>
      <w:tblPr>
        <w:tblW w:type="auto" w:w="0"/>
        <w:jc w:val="center"/>
        <w:tblLayout w:type="fixed"/>
        <w:tblLook w:firstColumn="1" w:firstRow="1" w:lastColumn="0" w:lastRow="0" w:noHBand="0" w:noVBand="1" w:val="04A0"/>
      </w:tblPr>
      <w:tblGrid>
        <w:gridCol w:w="3216"/>
        <w:gridCol w:w="3216"/>
        <w:gridCol w:w="3216"/>
      </w:tblGrid>
      <w:tr>
        <w:tc>
          <w:tcPr>
            <w:tcW w:type="dxa" w:w="1944"/>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Capability</w:t>
            </w:r>
          </w:p>
        </w:tc>
        <w:tc>
          <w:tcPr>
            <w:tcW w:type="dxa" w:w="3528"/>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Retail mode</w:t>
            </w:r>
          </w:p>
        </w:tc>
        <w:tc>
          <w:tcPr>
            <w:tcW w:type="dxa" w:w="3672"/>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Wholesale mode</w:t>
            </w:r>
          </w:p>
        </w:tc>
      </w:tr>
      <w:tr>
        <w:tc>
          <w:tcPr>
            <w:tcW w:type="dxa" w:w="194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Entry</w:t>
            </w:r>
          </w:p>
        </w:tc>
        <w:tc>
          <w:tcPr>
            <w:tcW w:type="dxa" w:w="352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Browse immediately; optional sign-in</w:t>
            </w:r>
          </w:p>
        </w:tc>
        <w:tc>
          <w:tcPr>
            <w:tcW w:type="dxa" w:w="36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Browse catalog; verify business to reveal tiers</w:t>
            </w:r>
          </w:p>
        </w:tc>
      </w:tr>
      <w:tr>
        <w:tc>
          <w:tcPr>
            <w:tcW w:type="dxa" w:w="194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Price</w:t>
            </w:r>
          </w:p>
        </w:tc>
        <w:tc>
          <w:tcPr>
            <w:tcW w:type="dxa" w:w="352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MRP, offer, total savings, EMI</w:t>
            </w:r>
          </w:p>
        </w:tc>
        <w:tc>
          <w:tcPr>
            <w:tcW w:type="dxa" w:w="36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Base/dealer price, GST state, slab tiers, MOQ</w:t>
            </w:r>
          </w:p>
        </w:tc>
      </w:tr>
      <w:tr>
        <w:tc>
          <w:tcPr>
            <w:tcW w:type="dxa" w:w="194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Cart</w:t>
            </w:r>
          </w:p>
        </w:tc>
        <w:tc>
          <w:tcPr>
            <w:tcW w:type="dxa" w:w="352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Unit quantity, delivery/install add-ons</w:t>
            </w:r>
          </w:p>
        </w:tc>
        <w:tc>
          <w:tcPr>
            <w:tcW w:type="dxa" w:w="36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Case quantity, multi-SKU grid, upload/order by SKU</w:t>
            </w:r>
          </w:p>
        </w:tc>
      </w:tr>
      <w:tr>
        <w:tc>
          <w:tcPr>
            <w:tcW w:type="dxa" w:w="194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Checkout</w:t>
            </w:r>
          </w:p>
        </w:tc>
        <w:tc>
          <w:tcPr>
            <w:tcW w:type="dxa" w:w="352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Address, slot, payment, invoice</w:t>
            </w:r>
          </w:p>
        </w:tc>
        <w:tc>
          <w:tcPr>
            <w:tcW w:type="dxa" w:w="36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PO/quote, GST, credit terms if approved, multi-address</w:t>
            </w:r>
          </w:p>
        </w:tc>
      </w:tr>
      <w:tr>
        <w:tc>
          <w:tcPr>
            <w:tcW w:type="dxa" w:w="194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Saved state</w:t>
            </w:r>
          </w:p>
        </w:tc>
        <w:tc>
          <w:tcPr>
            <w:tcW w:type="dxa" w:w="352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Wishlist/bookmarks and alerts</w:t>
            </w:r>
          </w:p>
        </w:tc>
        <w:tc>
          <w:tcPr>
            <w:tcW w:type="dxa" w:w="36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Lists, templates, repeat orders and account pricing</w:t>
            </w:r>
          </w:p>
        </w:tc>
      </w:tr>
    </w:tbl>
    <w:p>
      <w:pPr>
        <w:spacing w:after="20"/>
      </w:pPr>
    </w:p>
    <w:p>
      <w:r>
        <w:br w:type="page"/>
      </w:r>
    </w:p>
    <w:p>
      <w:pPr>
        <w:pStyle w:val="Heading1"/>
      </w:pPr>
      <w:r>
        <w:t>4. Landing page specification</w:t>
      </w:r>
    </w:p>
    <w:p>
      <w:pPr>
        <w:pStyle w:val="Heading2"/>
      </w:pPr>
      <w:r>
        <w:t>Narrative sequence</w:t>
      </w:r>
    </w:p>
    <w:tbl>
      <w:tblPr>
        <w:tblW w:type="auto" w:w="0"/>
        <w:jc w:val="center"/>
        <w:tblLayout w:type="fixed"/>
        <w:tblLook w:firstColumn="1" w:firstRow="1" w:lastColumn="0" w:lastRow="0" w:noHBand="0" w:noVBand="1" w:val="04A0"/>
      </w:tblPr>
      <w:tblGrid>
        <w:gridCol w:w="3216"/>
        <w:gridCol w:w="3216"/>
        <w:gridCol w:w="3216"/>
      </w:tblGrid>
      <w:tr>
        <w:tc>
          <w:tcPr>
            <w:tcW w:type="dxa" w:w="1512"/>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Zone</w:t>
            </w:r>
          </w:p>
        </w:tc>
        <w:tc>
          <w:tcPr>
            <w:tcW w:type="dxa" w:w="4824"/>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Purpose and content</w:t>
            </w:r>
          </w:p>
        </w:tc>
        <w:tc>
          <w:tcPr>
            <w:tcW w:type="dxa" w:w="2880"/>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Primary action / behavior</w:t>
            </w:r>
          </w:p>
        </w:tc>
      </w:tr>
      <w:tr>
        <w:tc>
          <w:tcPr>
            <w:tcW w:type="dxa" w:w="151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1. Utility rail</w:t>
            </w:r>
          </w:p>
        </w:tc>
        <w:tc>
          <w:tcPr>
            <w:tcW w:type="dxa" w:w="482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Pune delivery promise, store hours, verified offer; horizontally running</w:t>
            </w:r>
          </w:p>
        </w:tc>
        <w:tc>
          <w:tcPr>
            <w:tcW w:type="dxa" w:w="288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Pause; select delivery area</w:t>
            </w:r>
          </w:p>
        </w:tc>
      </w:tr>
      <w:tr>
        <w:tc>
          <w:tcPr>
            <w:tcW w:type="dxa" w:w="151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2. Hero</w:t>
            </w:r>
          </w:p>
        </w:tc>
        <w:tc>
          <w:tcPr>
            <w:tcW w:type="dxa" w:w="482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3D product constellation around a clear value proposition; Retail/Wholesale task cards</w:t>
            </w:r>
          </w:p>
        </w:tc>
        <w:tc>
          <w:tcPr>
            <w:tcW w:type="dxa" w:w="288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Shop retail / Buy wholesale</w:t>
            </w:r>
          </w:p>
        </w:tc>
      </w:tr>
      <w:tr>
        <w:tc>
          <w:tcPr>
            <w:tcW w:type="dxa" w:w="151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3. Smart search</w:t>
            </w:r>
          </w:p>
        </w:tc>
        <w:tc>
          <w:tcPr>
            <w:tcW w:type="dxa" w:w="482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Natural-language prompt: “43-inch TV under ₹35k with installation”</w:t>
            </w:r>
          </w:p>
        </w:tc>
        <w:tc>
          <w:tcPr>
            <w:tcW w:type="dxa" w:w="288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Search with voice/text and recent queries</w:t>
            </w:r>
          </w:p>
        </w:tc>
      </w:tr>
      <w:tr>
        <w:tc>
          <w:tcPr>
            <w:tcW w:type="dxa" w:w="151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4. Category orbit</w:t>
            </w:r>
          </w:p>
        </w:tc>
        <w:tc>
          <w:tcPr>
            <w:tcW w:type="dxa" w:w="482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12 priority categories, 8 secondary; tactile cards with depth</w:t>
            </w:r>
          </w:p>
        </w:tc>
        <w:tc>
          <w:tcPr>
            <w:tcW w:type="dxa" w:w="288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Open pre-filtered category</w:t>
            </w:r>
          </w:p>
        </w:tc>
      </w:tr>
      <w:tr>
        <w:tc>
          <w:tcPr>
            <w:tcW w:type="dxa" w:w="151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5. Deal theatre</w:t>
            </w:r>
          </w:p>
        </w:tc>
        <w:tc>
          <w:tcPr>
            <w:tcW w:type="dxa" w:w="482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One genuine campaign with price, end time and stock source</w:t>
            </w:r>
          </w:p>
        </w:tc>
        <w:tc>
          <w:tcPr>
            <w:tcW w:type="dxa" w:w="288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View offer; no carousel auto-rotation</w:t>
            </w:r>
          </w:p>
        </w:tc>
      </w:tr>
      <w:tr>
        <w:tc>
          <w:tcPr>
            <w:tcW w:type="dxa" w:w="151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6. Choose-by-need</w:t>
            </w:r>
          </w:p>
        </w:tc>
        <w:tc>
          <w:tcPr>
            <w:tcW w:type="dxa" w:w="482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New home, office setup, gaming, cooling, creator, repair/maker bundles</w:t>
            </w:r>
          </w:p>
        </w:tc>
        <w:tc>
          <w:tcPr>
            <w:tcW w:type="dxa" w:w="288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Start guided bundle</w:t>
            </w:r>
          </w:p>
        </w:tc>
      </w:tr>
      <w:tr>
        <w:tc>
          <w:tcPr>
            <w:tcW w:type="dxa" w:w="151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7. Compare strip</w:t>
            </w:r>
          </w:p>
        </w:tc>
        <w:tc>
          <w:tcPr>
            <w:tcW w:type="dxa" w:w="482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Popular comparison trios with plain-language differences</w:t>
            </w:r>
          </w:p>
        </w:tc>
        <w:tc>
          <w:tcPr>
            <w:tcW w:type="dxa" w:w="288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Compare</w:t>
            </w:r>
          </w:p>
        </w:tc>
      </w:tr>
      <w:tr>
        <w:tc>
          <w:tcPr>
            <w:tcW w:type="dxa" w:w="151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8. Pune trust</w:t>
            </w:r>
          </w:p>
        </w:tc>
        <w:tc>
          <w:tcPr>
            <w:tcW w:type="dxa" w:w="482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Delivery coverage, pickup, installation, GST invoice, support proof</w:t>
            </w:r>
          </w:p>
        </w:tc>
        <w:tc>
          <w:tcPr>
            <w:tcW w:type="dxa" w:w="288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Check PIN code / contact</w:t>
            </w:r>
          </w:p>
        </w:tc>
      </w:tr>
      <w:tr>
        <w:tc>
          <w:tcPr>
            <w:tcW w:type="dxa" w:w="151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9. Wholesale desk</w:t>
            </w:r>
          </w:p>
        </w:tc>
        <w:tc>
          <w:tcPr>
            <w:tcW w:type="dxa" w:w="482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MOQ, price tiers, quote turnaround, dealer onboarding</w:t>
            </w:r>
          </w:p>
        </w:tc>
        <w:tc>
          <w:tcPr>
            <w:tcW w:type="dxa" w:w="288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Create business account</w:t>
            </w:r>
          </w:p>
        </w:tc>
      </w:tr>
      <w:tr>
        <w:tc>
          <w:tcPr>
            <w:tcW w:type="dxa" w:w="151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10. Social proof</w:t>
            </w:r>
          </w:p>
        </w:tc>
        <w:tc>
          <w:tcPr>
            <w:tcW w:type="dxa" w:w="482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Verified purchase reviews and project stories</w:t>
            </w:r>
          </w:p>
        </w:tc>
        <w:tc>
          <w:tcPr>
            <w:tcW w:type="dxa" w:w="288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Read proof</w:t>
            </w:r>
          </w:p>
        </w:tc>
      </w:tr>
      <w:tr>
        <w:tc>
          <w:tcPr>
            <w:tcW w:type="dxa" w:w="151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11. Inventory QR</w:t>
            </w:r>
          </w:p>
        </w:tc>
        <w:tc>
          <w:tcPr>
            <w:tcW w:type="dxa" w:w="482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Live catalog-sharing preview and scope controls</w:t>
            </w:r>
          </w:p>
        </w:tc>
        <w:tc>
          <w:tcPr>
            <w:tcW w:type="dxa" w:w="288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Generate QR</w:t>
            </w:r>
          </w:p>
        </w:tc>
      </w:tr>
      <w:tr>
        <w:tc>
          <w:tcPr>
            <w:tcW w:type="dxa" w:w="151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12. Footer</w:t>
            </w:r>
          </w:p>
        </w:tc>
        <w:tc>
          <w:tcPr>
            <w:tcW w:type="dxa" w:w="482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Policies, categories, brands, service, business identity</w:t>
            </w:r>
          </w:p>
        </w:tc>
        <w:tc>
          <w:tcPr>
            <w:tcW w:type="dxa" w:w="288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Direct navigation</w:t>
            </w:r>
          </w:p>
        </w:tc>
      </w:tr>
    </w:tbl>
    <w:p>
      <w:pPr>
        <w:spacing w:after="20"/>
      </w:pPr>
    </w:p>
    <w:p>
      <w:pPr>
        <w:pStyle w:val="Heading2"/>
      </w:pPr>
      <w:r>
        <w:t>Hero interaction rules</w:t>
      </w:r>
    </w:p>
    <w:p>
      <w:pPr>
        <w:pStyle w:val="ListBullet"/>
        <w:spacing w:after="60" w:line="259" w:lineRule="auto"/>
        <w:ind w:left="360" w:hanging="259"/>
      </w:pPr>
      <w:r>
        <w:rPr>
          <w:rFonts w:ascii="Aptos" w:hAnsi="Aptos"/>
          <w:b w:val="0"/>
          <w:i w:val="0"/>
          <w:color w:val="172033"/>
          <w:sz w:val="19"/>
        </w:rPr>
        <w:t>Load a static poster immediately; hydrate the lightweight 3D scene after primary content.</w:t>
      </w:r>
    </w:p>
    <w:p>
      <w:pPr>
        <w:pStyle w:val="ListBullet"/>
        <w:spacing w:after="60" w:line="259" w:lineRule="auto"/>
        <w:ind w:left="360" w:hanging="259"/>
      </w:pPr>
      <w:r>
        <w:rPr>
          <w:rFonts w:ascii="Aptos" w:hAnsi="Aptos"/>
          <w:b w:val="0"/>
          <w:i w:val="0"/>
          <w:color w:val="172033"/>
          <w:sz w:val="19"/>
        </w:rPr>
        <w:t>Pointer parallax ≤6 px and object rotation ≤8°; no continuous motion when the user is reading.</w:t>
      </w:r>
    </w:p>
    <w:p>
      <w:pPr>
        <w:pStyle w:val="ListBullet"/>
        <w:spacing w:after="60" w:line="259" w:lineRule="auto"/>
        <w:ind w:left="360" w:hanging="259"/>
      </w:pPr>
      <w:r>
        <w:rPr>
          <w:rFonts w:ascii="Aptos" w:hAnsi="Aptos"/>
          <w:b w:val="0"/>
          <w:i w:val="0"/>
          <w:color w:val="172033"/>
          <w:sz w:val="19"/>
        </w:rPr>
        <w:t>Retail and Wholesale cards explain the consequence before selection. Remember mode, but keep switch visible.</w:t>
      </w:r>
    </w:p>
    <w:p>
      <w:pPr>
        <w:pStyle w:val="ListBullet"/>
        <w:spacing w:after="60" w:line="259" w:lineRule="auto"/>
        <w:ind w:left="360" w:hanging="259"/>
      </w:pPr>
      <w:r>
        <w:rPr>
          <w:rFonts w:ascii="Aptos" w:hAnsi="Aptos"/>
          <w:b w:val="0"/>
          <w:i w:val="0"/>
          <w:color w:val="172033"/>
          <w:sz w:val="19"/>
        </w:rPr>
        <w:t>Hero CTA remains text-first and high contrast. 3D objects never become the only navigation affordance.</w:t>
      </w:r>
    </w:p>
    <w:p>
      <w:pPr>
        <w:pStyle w:val="ListBullet"/>
        <w:spacing w:after="60" w:line="259" w:lineRule="auto"/>
        <w:ind w:left="360" w:hanging="259"/>
      </w:pPr>
      <w:r>
        <w:rPr>
          <w:rFonts w:ascii="Aptos" w:hAnsi="Aptos"/>
          <w:b w:val="0"/>
          <w:i w:val="0"/>
          <w:color w:val="172033"/>
          <w:sz w:val="19"/>
        </w:rPr>
        <w:t>On reduced-motion, replace orbit/scroll choreography with fades ≤150 ms and a static product composition.</w:t>
      </w:r>
    </w:p>
    <w:p>
      <w:pPr>
        <w:pStyle w:val="Heading2"/>
      </w:pPr>
      <w:r>
        <w:t>Visual direction</w:t>
      </w:r>
    </w:p>
    <w:p>
      <w:pPr>
        <w:spacing w:after="120" w:line="269" w:lineRule="auto"/>
      </w:pPr>
      <w:r>
        <w:rPr>
          <w:rFonts w:ascii="Aptos" w:hAnsi="Aptos"/>
          <w:b w:val="0"/>
          <w:i w:val="0"/>
          <w:color w:val="172033"/>
          <w:sz w:val="20"/>
        </w:rPr>
        <w:t>Premium Pune-tech aesthetic: deep navy/ink base, electric blue and cyan for technology, restrained saffron/orange for commerce and local warmth, translucent glass panels over controlled gradients, crisp product photography, generous dark-to-light transitions and rounded geometry. Glass surfaces must retain opaque fallback and at least 4.5:1 text contrast. Use the Dribbble reference for editorial composition, large product imagery and whitespace—not for literal copying.</w:t>
      </w:r>
    </w:p>
    <w:p>
      <w:r>
        <w:br w:type="page"/>
      </w:r>
    </w:p>
    <w:p>
      <w:pPr>
        <w:pStyle w:val="Heading1"/>
      </w:pPr>
      <w:r>
        <w:t>5. Core journeys and functional requirements</w:t>
      </w:r>
    </w:p>
    <w:p>
      <w:pPr>
        <w:pStyle w:val="Heading2"/>
      </w:pPr>
      <w:r>
        <w:t>Authentication and roles</w:t>
      </w:r>
    </w:p>
    <w:p>
      <w:pPr>
        <w:pStyle w:val="ListBullet"/>
        <w:spacing w:after="60" w:line="259" w:lineRule="auto"/>
        <w:ind w:left="360" w:hanging="259"/>
      </w:pPr>
      <w:r>
        <w:rPr>
          <w:rFonts w:ascii="Aptos" w:hAnsi="Aptos"/>
          <w:b w:val="0"/>
          <w:i w:val="0"/>
          <w:color w:val="172033"/>
          <w:sz w:val="19"/>
        </w:rPr>
        <w:t>Start with Retail / Wholesale intent; allow guest retail browsing and cart.</w:t>
      </w:r>
    </w:p>
    <w:p>
      <w:pPr>
        <w:pStyle w:val="ListBullet"/>
        <w:spacing w:after="60" w:line="259" w:lineRule="auto"/>
        <w:ind w:left="360" w:hanging="259"/>
      </w:pPr>
      <w:r>
        <w:rPr>
          <w:rFonts w:ascii="Aptos" w:hAnsi="Aptos"/>
          <w:b w:val="0"/>
          <w:i w:val="0"/>
          <w:color w:val="172033"/>
          <w:sz w:val="19"/>
        </w:rPr>
        <w:t>Retail sign-in: mobile OTP primary; email/password optional; social sign-in only if operationally supported.</w:t>
      </w:r>
    </w:p>
    <w:p>
      <w:pPr>
        <w:pStyle w:val="ListBullet"/>
        <w:spacing w:after="60" w:line="259" w:lineRule="auto"/>
        <w:ind w:left="360" w:hanging="259"/>
      </w:pPr>
      <w:r>
        <w:rPr>
          <w:rFonts w:ascii="Aptos" w:hAnsi="Aptos"/>
          <w:b w:val="0"/>
          <w:i w:val="0"/>
          <w:color w:val="172033"/>
          <w:sz w:val="19"/>
        </w:rPr>
        <w:t>Wholesale onboarding: mobile/email OTP, legal/business name, GSTIN where applicable, address, buyer role, expected monthly volume and consent.</w:t>
      </w:r>
    </w:p>
    <w:p>
      <w:pPr>
        <w:pStyle w:val="ListBullet"/>
        <w:spacing w:after="60" w:line="259" w:lineRule="auto"/>
        <w:ind w:left="360" w:hanging="259"/>
      </w:pPr>
      <w:r>
        <w:rPr>
          <w:rFonts w:ascii="Aptos" w:hAnsi="Aptos"/>
          <w:b w:val="0"/>
          <w:i w:val="0"/>
          <w:color w:val="172033"/>
          <w:sz w:val="19"/>
        </w:rPr>
        <w:t>States: guest, retail customer, wholesale pending, wholesale verified, wholesale suspended, staff/admin.</w:t>
      </w:r>
    </w:p>
    <w:p>
      <w:pPr>
        <w:pStyle w:val="ListBullet"/>
        <w:spacing w:after="60" w:line="259" w:lineRule="auto"/>
        <w:ind w:left="360" w:hanging="259"/>
      </w:pPr>
      <w:r>
        <w:rPr>
          <w:rFonts w:ascii="Aptos" w:hAnsi="Aptos"/>
          <w:b w:val="0"/>
          <w:i w:val="0"/>
          <w:color w:val="172033"/>
          <w:sz w:val="19"/>
        </w:rPr>
        <w:t>Step-up verification for sensitive changes, saved payment instruments, credit terms and high-value orders.</w:t>
      </w:r>
    </w:p>
    <w:p>
      <w:pPr>
        <w:pStyle w:val="ListBullet"/>
        <w:spacing w:after="60" w:line="259" w:lineRule="auto"/>
        <w:ind w:left="360" w:hanging="259"/>
      </w:pPr>
      <w:r>
        <w:rPr>
          <w:rFonts w:ascii="Aptos" w:hAnsi="Aptos"/>
          <w:b w:val="0"/>
          <w:i w:val="0"/>
          <w:color w:val="172033"/>
          <w:sz w:val="19"/>
        </w:rPr>
        <w:t>Account merge and role switching must preserve bookmarks and carts without exposing wholesale pricing to unauthorized users.</w:t>
      </w:r>
    </w:p>
    <w:p>
      <w:pPr>
        <w:pStyle w:val="Heading2"/>
      </w:pPr>
      <w:r>
        <w:t>Search, discovery and comparison</w:t>
      </w:r>
    </w:p>
    <w:p>
      <w:pPr>
        <w:pStyle w:val="ListBullet"/>
        <w:spacing w:after="60" w:line="259" w:lineRule="auto"/>
        <w:ind w:left="360" w:hanging="259"/>
      </w:pPr>
      <w:r>
        <w:rPr>
          <w:rFonts w:ascii="Aptos" w:hAnsi="Aptos"/>
          <w:b w:val="0"/>
          <w:i w:val="0"/>
          <w:color w:val="172033"/>
          <w:sz w:val="19"/>
        </w:rPr>
        <w:t>Typo-tolerant, synonym-aware search across title, brand, model, SKU, category, attributes and compatibility.</w:t>
      </w:r>
    </w:p>
    <w:p>
      <w:pPr>
        <w:pStyle w:val="ListBullet"/>
        <w:spacing w:after="60" w:line="259" w:lineRule="auto"/>
        <w:ind w:left="360" w:hanging="259"/>
      </w:pPr>
      <w:r>
        <w:rPr>
          <w:rFonts w:ascii="Aptos" w:hAnsi="Aptos"/>
          <w:b w:val="0"/>
          <w:i w:val="0"/>
          <w:color w:val="172033"/>
          <w:sz w:val="19"/>
        </w:rPr>
        <w:t>Autocomplete groups products, categories, brands, guides and recent queries.</w:t>
      </w:r>
    </w:p>
    <w:p>
      <w:pPr>
        <w:pStyle w:val="ListBullet"/>
        <w:spacing w:after="60" w:line="259" w:lineRule="auto"/>
        <w:ind w:left="360" w:hanging="259"/>
      </w:pPr>
      <w:r>
        <w:rPr>
          <w:rFonts w:ascii="Aptos" w:hAnsi="Aptos"/>
          <w:b w:val="0"/>
          <w:i w:val="0"/>
          <w:color w:val="172033"/>
          <w:sz w:val="19"/>
        </w:rPr>
        <w:t>Facets update counts without page reload; selected filters become removable chips; mobile filter is a full-height sheet.</w:t>
      </w:r>
    </w:p>
    <w:p>
      <w:pPr>
        <w:pStyle w:val="ListBullet"/>
        <w:spacing w:after="60" w:line="259" w:lineRule="auto"/>
        <w:ind w:left="360" w:hanging="259"/>
      </w:pPr>
      <w:r>
        <w:rPr>
          <w:rFonts w:ascii="Aptos" w:hAnsi="Aptos"/>
          <w:b w:val="0"/>
          <w:i w:val="0"/>
          <w:color w:val="172033"/>
          <w:sz w:val="19"/>
        </w:rPr>
        <w:t>Sort: relevance, price, rating, newest, discount, availability and wholesale margin where authorized.</w:t>
      </w:r>
    </w:p>
    <w:p>
      <w:pPr>
        <w:pStyle w:val="ListBullet"/>
        <w:spacing w:after="60" w:line="259" w:lineRule="auto"/>
        <w:ind w:left="360" w:hanging="259"/>
      </w:pPr>
      <w:r>
        <w:rPr>
          <w:rFonts w:ascii="Aptos" w:hAnsi="Aptos"/>
          <w:b w:val="0"/>
          <w:i w:val="0"/>
          <w:color w:val="172033"/>
          <w:sz w:val="19"/>
        </w:rPr>
        <w:t>Compare 2–4 products with sticky difference-only toggle and plain-language “best for” summary.</w:t>
      </w:r>
    </w:p>
    <w:p>
      <w:pPr>
        <w:pStyle w:val="ListBullet"/>
        <w:spacing w:after="60" w:line="259" w:lineRule="auto"/>
        <w:ind w:left="360" w:hanging="259"/>
      </w:pPr>
      <w:r>
        <w:rPr>
          <w:rFonts w:ascii="Aptos" w:hAnsi="Aptos"/>
          <w:b w:val="0"/>
          <w:i w:val="0"/>
          <w:color w:val="172033"/>
          <w:sz w:val="19"/>
        </w:rPr>
        <w:t>Zero results offers correction, adjacent category, remove-filter options and human help.</w:t>
      </w:r>
    </w:p>
    <w:p>
      <w:pPr>
        <w:pStyle w:val="Heading2"/>
      </w:pPr>
      <w:r>
        <w:t>Product detail page</w:t>
      </w:r>
    </w:p>
    <w:p>
      <w:pPr>
        <w:pStyle w:val="ListBullet"/>
        <w:spacing w:after="60" w:line="259" w:lineRule="auto"/>
        <w:ind w:left="360" w:hanging="259"/>
      </w:pPr>
      <w:r>
        <w:rPr>
          <w:rFonts w:ascii="Aptos" w:hAnsi="Aptos"/>
          <w:b w:val="0"/>
          <w:i w:val="0"/>
          <w:color w:val="172033"/>
          <w:sz w:val="19"/>
        </w:rPr>
        <w:t>Above fold: gallery/3D, title/model, rating, final price or protected B2B price, savings, stock, PIN-code ETA, warranty and dominant CTA.</w:t>
      </w:r>
    </w:p>
    <w:p>
      <w:pPr>
        <w:pStyle w:val="ListBullet"/>
        <w:spacing w:after="60" w:line="259" w:lineRule="auto"/>
        <w:ind w:left="360" w:hanging="259"/>
      </w:pPr>
      <w:r>
        <w:rPr>
          <w:rFonts w:ascii="Aptos" w:hAnsi="Aptos"/>
          <w:b w:val="0"/>
          <w:i w:val="0"/>
          <w:color w:val="172033"/>
          <w:sz w:val="19"/>
        </w:rPr>
        <w:t>Variant choices show price/stock consequence instantly; unavailable combinations are disabled with reason.</w:t>
      </w:r>
    </w:p>
    <w:p>
      <w:pPr>
        <w:pStyle w:val="ListBullet"/>
        <w:spacing w:after="60" w:line="259" w:lineRule="auto"/>
        <w:ind w:left="360" w:hanging="259"/>
      </w:pPr>
      <w:r>
        <w:rPr>
          <w:rFonts w:ascii="Aptos" w:hAnsi="Aptos"/>
          <w:b w:val="0"/>
          <w:i w:val="0"/>
          <w:color w:val="172033"/>
          <w:sz w:val="19"/>
        </w:rPr>
        <w:t>Gallery supports image, short video, 360/3D and dimension overlay; thumbnails remain keyboard accessible.</w:t>
      </w:r>
    </w:p>
    <w:p>
      <w:pPr>
        <w:pStyle w:val="ListBullet"/>
        <w:spacing w:after="60" w:line="259" w:lineRule="auto"/>
        <w:ind w:left="360" w:hanging="259"/>
      </w:pPr>
      <w:r>
        <w:rPr>
          <w:rFonts w:ascii="Aptos" w:hAnsi="Aptos"/>
          <w:b w:val="0"/>
          <w:i w:val="0"/>
          <w:color w:val="172033"/>
          <w:sz w:val="19"/>
        </w:rPr>
        <w:t>Compatibility block answers “works with…” and highlights required accessories.</w:t>
      </w:r>
    </w:p>
    <w:p>
      <w:pPr>
        <w:pStyle w:val="ListBullet"/>
        <w:spacing w:after="60" w:line="259" w:lineRule="auto"/>
        <w:ind w:left="360" w:hanging="259"/>
      </w:pPr>
      <w:r>
        <w:rPr>
          <w:rFonts w:ascii="Aptos" w:hAnsi="Aptos"/>
          <w:b w:val="0"/>
          <w:i w:val="0"/>
          <w:color w:val="172033"/>
          <w:sz w:val="19"/>
        </w:rPr>
        <w:t>Sticky mobile buy bar: price, Add to cart and Buy now/payment link; bookmark icon near title/gallery.</w:t>
      </w:r>
    </w:p>
    <w:p>
      <w:pPr>
        <w:pStyle w:val="ListBullet"/>
        <w:spacing w:after="60" w:line="259" w:lineRule="auto"/>
        <w:ind w:left="360" w:hanging="259"/>
      </w:pPr>
      <w:r>
        <w:rPr>
          <w:rFonts w:ascii="Aptos" w:hAnsi="Aptos"/>
          <w:b w:val="0"/>
          <w:i w:val="0"/>
          <w:color w:val="172033"/>
          <w:sz w:val="19"/>
        </w:rPr>
        <w:t>Below fold: highlights, specs, comparison, offers, delivery/install, reviews, Q&amp;A, documents and alternatives.</w:t>
      </w:r>
    </w:p>
    <w:p>
      <w:pPr>
        <w:pStyle w:val="Heading2"/>
      </w:pPr>
      <w:r>
        <w:t>Cart, checkout and payment</w:t>
      </w:r>
    </w:p>
    <w:p>
      <w:pPr>
        <w:pStyle w:val="ListBullet"/>
        <w:spacing w:after="60" w:line="259" w:lineRule="auto"/>
        <w:ind w:left="360" w:hanging="259"/>
      </w:pPr>
      <w:r>
        <w:rPr>
          <w:rFonts w:ascii="Aptos" w:hAnsi="Aptos"/>
          <w:b w:val="0"/>
          <w:i w:val="0"/>
          <w:color w:val="172033"/>
          <w:sz w:val="19"/>
        </w:rPr>
        <w:t>Persistent cart across devices after sign-in; clear stock reservation semantics.</w:t>
      </w:r>
    </w:p>
    <w:p>
      <w:pPr>
        <w:pStyle w:val="ListBullet"/>
        <w:spacing w:after="60" w:line="259" w:lineRule="auto"/>
        <w:ind w:left="360" w:hanging="259"/>
      </w:pPr>
      <w:r>
        <w:rPr>
          <w:rFonts w:ascii="Aptos" w:hAnsi="Aptos"/>
          <w:b w:val="0"/>
          <w:i w:val="0"/>
          <w:color w:val="172033"/>
          <w:sz w:val="19"/>
        </w:rPr>
        <w:t>Cart shows complete payable estimate, delivery/install, GST state, coupon and savings; no surprise fee at final step.</w:t>
      </w:r>
    </w:p>
    <w:p>
      <w:pPr>
        <w:pStyle w:val="ListBullet"/>
        <w:spacing w:after="60" w:line="259" w:lineRule="auto"/>
        <w:ind w:left="360" w:hanging="259"/>
      </w:pPr>
      <w:r>
        <w:rPr>
          <w:rFonts w:ascii="Aptos" w:hAnsi="Aptos"/>
          <w:b w:val="0"/>
          <w:i w:val="0"/>
          <w:color w:val="172033"/>
          <w:sz w:val="19"/>
        </w:rPr>
        <w:t>Express “Buy now” skips cart for a single eligible item.</w:t>
      </w:r>
    </w:p>
    <w:p>
      <w:pPr>
        <w:pStyle w:val="ListBullet"/>
        <w:spacing w:after="60" w:line="259" w:lineRule="auto"/>
        <w:ind w:left="360" w:hanging="259"/>
      </w:pPr>
      <w:r>
        <w:rPr>
          <w:rFonts w:ascii="Aptos" w:hAnsi="Aptos"/>
          <w:b w:val="0"/>
          <w:i w:val="0"/>
          <w:color w:val="172033"/>
          <w:sz w:val="19"/>
        </w:rPr>
        <w:t>Checkout uses one page with collapsible completed sections: contact → delivery → invoice → payment.</w:t>
      </w:r>
    </w:p>
    <w:p>
      <w:pPr>
        <w:pStyle w:val="ListBullet"/>
        <w:spacing w:after="60" w:line="259" w:lineRule="auto"/>
        <w:ind w:left="360" w:hanging="259"/>
      </w:pPr>
      <w:r>
        <w:rPr>
          <w:rFonts w:ascii="Aptos" w:hAnsi="Aptos"/>
          <w:b w:val="0"/>
          <w:i w:val="0"/>
          <w:color w:val="172033"/>
          <w:sz w:val="19"/>
        </w:rPr>
        <w:t>Payment options: UPI intent/QR, cards, net banking, wallets, configured COD, EMI and a prominent secure payment link.</w:t>
      </w:r>
    </w:p>
    <w:p>
      <w:pPr>
        <w:pStyle w:val="ListBullet"/>
        <w:spacing w:after="60" w:line="259" w:lineRule="auto"/>
        <w:ind w:left="360" w:hanging="259"/>
      </w:pPr>
      <w:r>
        <w:rPr>
          <w:rFonts w:ascii="Aptos" w:hAnsi="Aptos"/>
          <w:b w:val="0"/>
          <w:i w:val="0"/>
          <w:color w:val="172033"/>
          <w:sz w:val="19"/>
        </w:rPr>
        <w:t>Payment link is copyable, revocable, time-bound, amount-locked, order-bound and status-synced; warn before sharing.</w:t>
      </w:r>
    </w:p>
    <w:p>
      <w:pPr>
        <w:pStyle w:val="ListBullet"/>
        <w:spacing w:after="60" w:line="259" w:lineRule="auto"/>
        <w:ind w:left="360" w:hanging="259"/>
      </w:pPr>
      <w:r>
        <w:rPr>
          <w:rFonts w:ascii="Aptos" w:hAnsi="Aptos"/>
          <w:b w:val="0"/>
          <w:i w:val="0"/>
          <w:color w:val="172033"/>
          <w:sz w:val="19"/>
        </w:rPr>
        <w:t>Failure state preserves cart/order and offers Retry, Change method, or Get help. Never create duplicate orders on retries.</w:t>
      </w:r>
    </w:p>
    <w:p>
      <w:pPr>
        <w:pStyle w:val="Heading2"/>
      </w:pPr>
      <w:r>
        <w:t>Bookmarks and saved work</w:t>
      </w:r>
    </w:p>
    <w:p>
      <w:pPr>
        <w:spacing w:after="120" w:line="269" w:lineRule="auto"/>
      </w:pPr>
      <w:r>
        <w:rPr>
          <w:rFonts w:ascii="Aptos" w:hAnsi="Aptos"/>
          <w:b w:val="0"/>
          <w:i w:val="0"/>
          <w:color w:val="172033"/>
          <w:sz w:val="20"/>
        </w:rPr>
        <w:t>A bookmark is available on every product card and PDP. Guests store locally and are prompted to sync after sign-in. Users can create lists, add notes, share read-only lists, enable price/stock alerts, move items to cart and compare saved items. Wholesale users can convert a list to a repeat-order template or quote request.</w:t>
      </w:r>
    </w:p>
    <w:p>
      <w:r>
        <w:br w:type="page"/>
      </w:r>
    </w:p>
    <w:p>
      <w:pPr>
        <w:pStyle w:val="Heading1"/>
      </w:pPr>
      <w:r>
        <w:t>6. Site Guide Bot and inventory QR</w:t>
      </w:r>
    </w:p>
    <w:p>
      <w:pPr>
        <w:pStyle w:val="Heading2"/>
      </w:pPr>
      <w:r>
        <w:t>Site Guide Bot</w:t>
      </w:r>
    </w:p>
    <w:p>
      <w:pPr>
        <w:spacing w:after="120" w:line="269" w:lineRule="auto"/>
      </w:pPr>
      <w:r>
        <w:rPr>
          <w:rFonts w:ascii="Aptos" w:hAnsi="Aptos"/>
          <w:b w:val="0"/>
          <w:i w:val="0"/>
          <w:color w:val="172033"/>
          <w:sz w:val="20"/>
        </w:rPr>
        <w:t>The bot’s primary role is wayfinding and explanation: “What can I do here?”, “Show wholesale prices”, “How does installation work?”, “Compare these TVs”, or “Where is my order?”. It may summarize approved catalog and policy content, invoke deterministic site actions with confirmation, and hand off context to support.</w:t>
      </w:r>
    </w:p>
    <w:tbl>
      <w:tblPr>
        <w:tblW w:type="auto" w:w="0"/>
        <w:jc w:val="center"/>
        <w:tblLayout w:type="fixed"/>
        <w:tblLook w:firstColumn="1" w:firstRow="1" w:lastColumn="0" w:lastRow="0" w:noHBand="0" w:noVBand="1" w:val="04A0"/>
      </w:tblPr>
      <w:tblGrid>
        <w:gridCol w:w="3216"/>
        <w:gridCol w:w="3216"/>
        <w:gridCol w:w="3216"/>
      </w:tblGrid>
      <w:tr>
        <w:tc>
          <w:tcPr>
            <w:tcW w:type="dxa" w:w="1800"/>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Bot capability</w:t>
            </w:r>
          </w:p>
        </w:tc>
        <w:tc>
          <w:tcPr>
            <w:tcW w:type="dxa" w:w="3744"/>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Allowed behavior</w:t>
            </w:r>
          </w:p>
        </w:tc>
        <w:tc>
          <w:tcPr>
            <w:tcW w:type="dxa" w:w="3600"/>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Safety boundary</w:t>
            </w:r>
          </w:p>
        </w:tc>
      </w:tr>
      <w:tr>
        <w:tc>
          <w:tcPr>
            <w:tcW w:type="dxa" w:w="180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Site tour</w:t>
            </w:r>
          </w:p>
        </w:tc>
        <w:tc>
          <w:tcPr>
            <w:tcW w:type="dxa" w:w="374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Contextual guided steps; user-controlled next/skip</w:t>
            </w:r>
          </w:p>
        </w:tc>
        <w:tc>
          <w:tcPr>
            <w:tcW w:type="dxa" w:w="360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Never trap focus or auto-start audio</w:t>
            </w:r>
          </w:p>
        </w:tc>
      </w:tr>
      <w:tr>
        <w:tc>
          <w:tcPr>
            <w:tcW w:type="dxa" w:w="180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Product help</w:t>
            </w:r>
          </w:p>
        </w:tc>
        <w:tc>
          <w:tcPr>
            <w:tcW w:type="dxa" w:w="374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Grounded summary from structured attributes and approved guides</w:t>
            </w:r>
          </w:p>
        </w:tc>
        <w:tc>
          <w:tcPr>
            <w:tcW w:type="dxa" w:w="360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No invented compatibility, stock or warranty</w:t>
            </w:r>
          </w:p>
        </w:tc>
      </w:tr>
      <w:tr>
        <w:tc>
          <w:tcPr>
            <w:tcW w:type="dxa" w:w="180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Navigation</w:t>
            </w:r>
          </w:p>
        </w:tc>
        <w:tc>
          <w:tcPr>
            <w:tcW w:type="dxa" w:w="374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Open search, filters, saved items, cart, account page</w:t>
            </w:r>
          </w:p>
        </w:tc>
        <w:tc>
          <w:tcPr>
            <w:tcW w:type="dxa" w:w="360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Confirm before destructive or financial action</w:t>
            </w:r>
          </w:p>
        </w:tc>
      </w:tr>
      <w:tr>
        <w:tc>
          <w:tcPr>
            <w:tcW w:type="dxa" w:w="180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Order help</w:t>
            </w:r>
          </w:p>
        </w:tc>
        <w:tc>
          <w:tcPr>
            <w:tcW w:type="dxa" w:w="374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Read authorized order status and explain next step</w:t>
            </w:r>
          </w:p>
        </w:tc>
        <w:tc>
          <w:tcPr>
            <w:tcW w:type="dxa" w:w="360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Authenticate; redact sensitive information</w:t>
            </w:r>
          </w:p>
        </w:tc>
      </w:tr>
      <w:tr>
        <w:tc>
          <w:tcPr>
            <w:tcW w:type="dxa" w:w="180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Commerce</w:t>
            </w:r>
          </w:p>
        </w:tc>
        <w:tc>
          <w:tcPr>
            <w:tcW w:type="dxa" w:w="374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Prepare cart/quote and deep-link to checkout</w:t>
            </w:r>
          </w:p>
        </w:tc>
        <w:tc>
          <w:tcPr>
            <w:tcW w:type="dxa" w:w="360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Cannot place order or promise price autonomously</w:t>
            </w:r>
          </w:p>
        </w:tc>
      </w:tr>
      <w:tr>
        <w:tc>
          <w:tcPr>
            <w:tcW w:type="dxa" w:w="180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Escalation</w:t>
            </w:r>
          </w:p>
        </w:tc>
        <w:tc>
          <w:tcPr>
            <w:tcW w:type="dxa" w:w="374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Create support ticket/chat handoff with transcript consent</w:t>
            </w:r>
          </w:p>
        </w:tc>
        <w:tc>
          <w:tcPr>
            <w:tcW w:type="dxa" w:w="360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Clear bot identity and easy dismissal</w:t>
            </w:r>
          </w:p>
        </w:tc>
      </w:tr>
    </w:tbl>
    <w:p>
      <w:pPr>
        <w:spacing w:after="20"/>
      </w:pPr>
    </w:p>
    <w:p>
      <w:pPr>
        <w:pStyle w:val="Heading3"/>
      </w:pPr>
      <w:r>
        <w:t>Bot UX requirements</w:t>
      </w:r>
    </w:p>
    <w:p>
      <w:pPr>
        <w:pStyle w:val="ListBullet"/>
        <w:spacing w:after="60" w:line="259" w:lineRule="auto"/>
        <w:ind w:left="360" w:hanging="259"/>
      </w:pPr>
      <w:r>
        <w:rPr>
          <w:rFonts w:ascii="Aptos" w:hAnsi="Aptos"/>
          <w:b w:val="0"/>
          <w:i w:val="0"/>
          <w:color w:val="172033"/>
          <w:sz w:val="19"/>
        </w:rPr>
        <w:t>Visible “AI site guide” label; never impersonate a human.</w:t>
      </w:r>
    </w:p>
    <w:p>
      <w:pPr>
        <w:pStyle w:val="ListBullet"/>
        <w:spacing w:after="60" w:line="259" w:lineRule="auto"/>
        <w:ind w:left="360" w:hanging="259"/>
      </w:pPr>
      <w:r>
        <w:rPr>
          <w:rFonts w:ascii="Aptos" w:hAnsi="Aptos"/>
          <w:b w:val="0"/>
          <w:i w:val="0"/>
          <w:color w:val="172033"/>
          <w:sz w:val="19"/>
        </w:rPr>
        <w:t>Suggested prompts tied to the page; free text always available.</w:t>
      </w:r>
    </w:p>
    <w:p>
      <w:pPr>
        <w:pStyle w:val="ListBullet"/>
        <w:spacing w:after="60" w:line="259" w:lineRule="auto"/>
        <w:ind w:left="360" w:hanging="259"/>
      </w:pPr>
      <w:r>
        <w:rPr>
          <w:rFonts w:ascii="Aptos" w:hAnsi="Aptos"/>
          <w:b w:val="0"/>
          <w:i w:val="0"/>
          <w:color w:val="172033"/>
          <w:sz w:val="19"/>
        </w:rPr>
        <w:t>Citations/deep links to product specs and policy sections inside responses.</w:t>
      </w:r>
    </w:p>
    <w:p>
      <w:pPr>
        <w:pStyle w:val="ListBullet"/>
        <w:spacing w:after="60" w:line="259" w:lineRule="auto"/>
        <w:ind w:left="360" w:hanging="259"/>
      </w:pPr>
      <w:r>
        <w:rPr>
          <w:rFonts w:ascii="Aptos" w:hAnsi="Aptos"/>
          <w:b w:val="0"/>
          <w:i w:val="0"/>
          <w:color w:val="172033"/>
          <w:sz w:val="19"/>
        </w:rPr>
        <w:t>Conversation can be cleared; transcript retention and consent are explicit.</w:t>
      </w:r>
    </w:p>
    <w:p>
      <w:pPr>
        <w:pStyle w:val="ListBullet"/>
        <w:spacing w:after="60" w:line="259" w:lineRule="auto"/>
        <w:ind w:left="360" w:hanging="259"/>
      </w:pPr>
      <w:r>
        <w:rPr>
          <w:rFonts w:ascii="Aptos" w:hAnsi="Aptos"/>
          <w:b w:val="0"/>
          <w:i w:val="0"/>
          <w:color w:val="172033"/>
          <w:sz w:val="19"/>
        </w:rPr>
        <w:t>Marathi, Hindi and English language architecture; POC can launch English first with i18n-ready copy.</w:t>
      </w:r>
    </w:p>
    <w:p>
      <w:pPr>
        <w:pStyle w:val="ListBullet"/>
        <w:spacing w:after="60" w:line="259" w:lineRule="auto"/>
        <w:ind w:left="360" w:hanging="259"/>
      </w:pPr>
      <w:r>
        <w:rPr>
          <w:rFonts w:ascii="Aptos" w:hAnsi="Aptos"/>
          <w:b w:val="0"/>
          <w:i w:val="0"/>
          <w:color w:val="172033"/>
          <w:sz w:val="19"/>
        </w:rPr>
        <w:t>Fallback uses deterministic help search when model confidence or retrieval quality is low.</w:t>
      </w:r>
    </w:p>
    <w:p>
      <w:pPr>
        <w:pStyle w:val="Heading2"/>
      </w:pPr>
      <w:r>
        <w:t>Share entire inventory by QR</w:t>
      </w:r>
    </w:p>
    <w:p>
      <w:pPr>
        <w:spacing w:after="120" w:line="269" w:lineRule="auto"/>
      </w:pPr>
      <w:r>
        <w:rPr>
          <w:rFonts w:ascii="Aptos" w:hAnsi="Aptos"/>
          <w:b w:val="0"/>
          <w:i w:val="0"/>
          <w:color w:val="172033"/>
          <w:sz w:val="20"/>
        </w:rPr>
        <w:t>The default QR should encode a short HTTPS URL to a live inventory landing page, not 500 product records. This keeps the QR scannable and inventory current. Authorized users choose scope: full public catalog, category, brand, saved list, quote, or wholesale catalog. Wholesale links require authentication before protected pricing is shown.</w:t>
      </w:r>
    </w:p>
    <w:p>
      <w:pPr>
        <w:pStyle w:val="ListBullet"/>
        <w:spacing w:after="60" w:line="259" w:lineRule="auto"/>
        <w:ind w:left="360" w:hanging="259"/>
      </w:pPr>
      <w:r>
        <w:rPr>
          <w:rFonts w:ascii="Aptos" w:hAnsi="Aptos"/>
          <w:b w:val="0"/>
          <w:i w:val="0"/>
          <w:color w:val="172033"/>
          <w:sz w:val="19"/>
        </w:rPr>
        <w:t>QR preview, downloadable PNG/SVG, copy link, native share and print label.</w:t>
      </w:r>
    </w:p>
    <w:p>
      <w:pPr>
        <w:pStyle w:val="ListBullet"/>
        <w:spacing w:after="60" w:line="259" w:lineRule="auto"/>
        <w:ind w:left="360" w:hanging="259"/>
      </w:pPr>
      <w:r>
        <w:rPr>
          <w:rFonts w:ascii="Aptos" w:hAnsi="Aptos"/>
          <w:b w:val="0"/>
          <w:i w:val="0"/>
          <w:color w:val="172033"/>
          <w:sz w:val="19"/>
        </w:rPr>
        <w:t>Link metadata stores creator, scope, filters, expiry, campaign and revocation state.</w:t>
      </w:r>
    </w:p>
    <w:p>
      <w:pPr>
        <w:pStyle w:val="ListBullet"/>
        <w:spacing w:after="60" w:line="259" w:lineRule="auto"/>
        <w:ind w:left="360" w:hanging="259"/>
      </w:pPr>
      <w:r>
        <w:rPr>
          <w:rFonts w:ascii="Aptos" w:hAnsi="Aptos"/>
          <w:b w:val="0"/>
          <w:i w:val="0"/>
          <w:color w:val="172033"/>
          <w:sz w:val="19"/>
        </w:rPr>
        <w:t>Public page uses canonical URL, no sensitive query parameters, Open Graph preview and analytics consent.</w:t>
      </w:r>
    </w:p>
    <w:p>
      <w:pPr>
        <w:pStyle w:val="ListBullet"/>
        <w:spacing w:after="60" w:line="259" w:lineRule="auto"/>
        <w:ind w:left="360" w:hanging="259"/>
      </w:pPr>
      <w:r>
        <w:rPr>
          <w:rFonts w:ascii="Aptos" w:hAnsi="Aptos"/>
          <w:b w:val="0"/>
          <w:i w:val="0"/>
          <w:color w:val="172033"/>
          <w:sz w:val="19"/>
        </w:rPr>
        <w:t>QR error correction level M by default; minimum printed size tested at intended distance.</w:t>
      </w:r>
    </w:p>
    <w:p>
      <w:pPr>
        <w:pStyle w:val="ListBullet"/>
        <w:spacing w:after="60" w:line="259" w:lineRule="auto"/>
        <w:ind w:left="360" w:hanging="259"/>
      </w:pPr>
      <w:r>
        <w:rPr>
          <w:rFonts w:ascii="Aptos" w:hAnsi="Aptos"/>
          <w:b w:val="0"/>
          <w:i w:val="0"/>
          <w:color w:val="172033"/>
          <w:sz w:val="19"/>
        </w:rPr>
        <w:t>Track generated → opened → product viewed → cart/quote, without exposing personal data.</w:t>
      </w:r>
    </w:p>
    <w:p>
      <w:r>
        <w:br w:type="page"/>
      </w:r>
    </w:p>
    <w:p>
      <w:pPr>
        <w:pStyle w:val="Heading1"/>
      </w:pPr>
      <w:r>
        <w:t>7. Motion, 3D and micro-interactions</w:t>
      </w:r>
    </w:p>
    <w:p>
      <w:pPr>
        <w:pStyle w:val="Heading2"/>
      </w:pPr>
      <w:r>
        <w:t>Motion system</w:t>
      </w:r>
    </w:p>
    <w:tbl>
      <w:tblPr>
        <w:tblW w:type="auto" w:w="0"/>
        <w:jc w:val="center"/>
        <w:tblLayout w:type="fixed"/>
        <w:tblLook w:firstColumn="1" w:firstRow="1" w:lastColumn="0" w:lastRow="0" w:noHBand="0" w:noVBand="1" w:val="04A0"/>
      </w:tblPr>
      <w:tblGrid>
        <w:gridCol w:w="3216"/>
        <w:gridCol w:w="3216"/>
        <w:gridCol w:w="3216"/>
      </w:tblGrid>
      <w:tr>
        <w:tc>
          <w:tcPr>
            <w:tcW w:type="dxa" w:w="1800"/>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Interaction</w:t>
            </w:r>
          </w:p>
        </w:tc>
        <w:tc>
          <w:tcPr>
            <w:tcW w:type="dxa" w:w="3672"/>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Motion</w:t>
            </w:r>
          </w:p>
        </w:tc>
        <w:tc>
          <w:tcPr>
            <w:tcW w:type="dxa" w:w="3672"/>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Timing / constraint</w:t>
            </w:r>
          </w:p>
        </w:tc>
      </w:tr>
      <w:tr>
        <w:tc>
          <w:tcPr>
            <w:tcW w:type="dxa" w:w="180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Button hover</w:t>
            </w:r>
          </w:p>
        </w:tc>
        <w:tc>
          <w:tcPr>
            <w:tcW w:type="dxa" w:w="36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2 px lift, subtle highlight sweep, icon translate</w:t>
            </w:r>
          </w:p>
        </w:tc>
        <w:tc>
          <w:tcPr>
            <w:tcW w:type="dxa" w:w="36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120–180 ms; no layout shift</w:t>
            </w:r>
          </w:p>
        </w:tc>
      </w:tr>
      <w:tr>
        <w:tc>
          <w:tcPr>
            <w:tcW w:type="dxa" w:w="180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Button press</w:t>
            </w:r>
          </w:p>
        </w:tc>
        <w:tc>
          <w:tcPr>
            <w:tcW w:type="dxa" w:w="36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Scale to 0.98, shadow contracts</w:t>
            </w:r>
          </w:p>
        </w:tc>
        <w:tc>
          <w:tcPr>
            <w:tcW w:type="dxa" w:w="36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80–120 ms; immediate state feedback</w:t>
            </w:r>
          </w:p>
        </w:tc>
      </w:tr>
      <w:tr>
        <w:tc>
          <w:tcPr>
            <w:tcW w:type="dxa" w:w="180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Bookmark</w:t>
            </w:r>
          </w:p>
        </w:tc>
        <w:tc>
          <w:tcPr>
            <w:tcW w:type="dxa" w:w="36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Icon fill + tiny radial pulse</w:t>
            </w:r>
          </w:p>
        </w:tc>
        <w:tc>
          <w:tcPr>
            <w:tcW w:type="dxa" w:w="36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180–240 ms; announce saved state</w:t>
            </w:r>
          </w:p>
        </w:tc>
      </w:tr>
      <w:tr>
        <w:tc>
          <w:tcPr>
            <w:tcW w:type="dxa" w:w="180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Add to cart</w:t>
            </w:r>
          </w:p>
        </w:tc>
        <w:tc>
          <w:tcPr>
            <w:tcW w:type="dxa" w:w="36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Product thumbnail arcs toward cart only on capable devices</w:t>
            </w:r>
          </w:p>
        </w:tc>
        <w:tc>
          <w:tcPr>
            <w:tcW w:type="dxa" w:w="36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≤450 ms; instant count update</w:t>
            </w:r>
          </w:p>
        </w:tc>
      </w:tr>
      <w:tr>
        <w:tc>
          <w:tcPr>
            <w:tcW w:type="dxa" w:w="180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Filter apply</w:t>
            </w:r>
          </w:p>
        </w:tc>
        <w:tc>
          <w:tcPr>
            <w:tcW w:type="dxa" w:w="36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Result skeleton/crossfade; chip settles</w:t>
            </w:r>
          </w:p>
        </w:tc>
        <w:tc>
          <w:tcPr>
            <w:tcW w:type="dxa" w:w="36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150–220 ms; preserve scroll</w:t>
            </w:r>
          </w:p>
        </w:tc>
      </w:tr>
      <w:tr>
        <w:tc>
          <w:tcPr>
            <w:tcW w:type="dxa" w:w="180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Page transition</w:t>
            </w:r>
          </w:p>
        </w:tc>
        <w:tc>
          <w:tcPr>
            <w:tcW w:type="dxa" w:w="36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Shared element for product image; short fade otherwise</w:t>
            </w:r>
          </w:p>
        </w:tc>
        <w:tc>
          <w:tcPr>
            <w:tcW w:type="dxa" w:w="36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≤300 ms; cancellable</w:t>
            </w:r>
          </w:p>
        </w:tc>
      </w:tr>
      <w:tr>
        <w:tc>
          <w:tcPr>
            <w:tcW w:type="dxa" w:w="1800"/>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Running rail</w:t>
            </w:r>
          </w:p>
        </w:tc>
        <w:tc>
          <w:tcPr>
            <w:tcW w:type="dxa" w:w="36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Constant linear scroll with pause on hover/focus</w:t>
            </w:r>
          </w:p>
        </w:tc>
        <w:tc>
          <w:tcPr>
            <w:tcW w:type="dxa" w:w="367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No critical info exclusively animated</w:t>
            </w:r>
          </w:p>
        </w:tc>
      </w:tr>
      <w:tr>
        <w:tc>
          <w:tcPr>
            <w:tcW w:type="dxa" w:w="1800"/>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3D viewer</w:t>
            </w:r>
          </w:p>
        </w:tc>
        <w:tc>
          <w:tcPr>
            <w:tcW w:type="dxa" w:w="36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Drag rotate, pinch zoom, hotspot focus</w:t>
            </w:r>
          </w:p>
        </w:tc>
        <w:tc>
          <w:tcPr>
            <w:tcW w:type="dxa" w:w="367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User-driven; cap DPR and frame budget</w:t>
            </w:r>
          </w:p>
        </w:tc>
      </w:tr>
    </w:tbl>
    <w:p>
      <w:pPr>
        <w:spacing w:after="20"/>
      </w:pPr>
    </w:p>
    <w:p>
      <w:pPr>
        <w:pStyle w:val="Heading2"/>
      </w:pPr>
      <w:r>
        <w:t>Performance tiers</w:t>
      </w:r>
    </w:p>
    <w:p>
      <w:pPr>
        <w:pStyle w:val="ListBullet"/>
        <w:spacing w:after="60" w:line="259" w:lineRule="auto"/>
        <w:ind w:left="360" w:hanging="259"/>
      </w:pPr>
      <w:r>
        <w:rPr>
          <w:rFonts w:ascii="Aptos" w:hAnsi="Aptos"/>
          <w:b w:val="0"/>
          <w:i w:val="0"/>
          <w:color w:val="172033"/>
          <w:sz w:val="19"/>
        </w:rPr>
        <w:t>Tier A: static responsive image and CSS micro-interactions for all devices.</w:t>
      </w:r>
    </w:p>
    <w:p>
      <w:pPr>
        <w:pStyle w:val="ListBullet"/>
        <w:spacing w:after="60" w:line="259" w:lineRule="auto"/>
        <w:ind w:left="360" w:hanging="259"/>
      </w:pPr>
      <w:r>
        <w:rPr>
          <w:rFonts w:ascii="Aptos" w:hAnsi="Aptos"/>
          <w:b w:val="0"/>
          <w:i w:val="0"/>
          <w:color w:val="172033"/>
          <w:sz w:val="19"/>
        </w:rPr>
        <w:t>Tier B: short product video/360 sprite after consent or interaction.</w:t>
      </w:r>
    </w:p>
    <w:p>
      <w:pPr>
        <w:pStyle w:val="ListBullet"/>
        <w:spacing w:after="60" w:line="259" w:lineRule="auto"/>
        <w:ind w:left="360" w:hanging="259"/>
      </w:pPr>
      <w:r>
        <w:rPr>
          <w:rFonts w:ascii="Aptos" w:hAnsi="Aptos"/>
          <w:b w:val="0"/>
          <w:i w:val="0"/>
          <w:color w:val="172033"/>
          <w:sz w:val="19"/>
        </w:rPr>
        <w:t>Tier C: WebGL/glTF 3D only on capable devices and only after primary content.</w:t>
      </w:r>
    </w:p>
    <w:p>
      <w:pPr>
        <w:pStyle w:val="ListBullet"/>
        <w:spacing w:after="60" w:line="259" w:lineRule="auto"/>
        <w:ind w:left="360" w:hanging="259"/>
      </w:pPr>
      <w:r>
        <w:rPr>
          <w:rFonts w:ascii="Aptos" w:hAnsi="Aptos"/>
          <w:b w:val="0"/>
          <w:i w:val="0"/>
          <w:color w:val="172033"/>
          <w:sz w:val="19"/>
        </w:rPr>
        <w:t>Stop offscreen animation; respect save-data, reduced-motion, thermal/battery signals where available.</w:t>
      </w:r>
    </w:p>
    <w:p>
      <w:pPr>
        <w:pStyle w:val="ListBullet"/>
        <w:spacing w:after="60" w:line="259" w:lineRule="auto"/>
        <w:ind w:left="360" w:hanging="259"/>
      </w:pPr>
      <w:r>
        <w:rPr>
          <w:rFonts w:ascii="Aptos" w:hAnsi="Aptos"/>
          <w:b w:val="0"/>
          <w:i w:val="0"/>
          <w:color w:val="172033"/>
          <w:sz w:val="19"/>
        </w:rPr>
        <w:t>Maintain identical commerce functionality without WebGL, blur, hover or animation.</w:t>
      </w:r>
    </w:p>
    <w:p>
      <w:pPr>
        <w:pStyle w:val="Heading2"/>
      </w:pPr>
      <w:r>
        <w:t>Accessibility acceptance</w:t>
      </w:r>
    </w:p>
    <w:p>
      <w:pPr>
        <w:pStyle w:val="ListBullet"/>
        <w:spacing w:after="60" w:line="259" w:lineRule="auto"/>
        <w:ind w:left="360" w:hanging="259"/>
      </w:pPr>
      <w:r>
        <w:rPr>
          <w:rFonts w:ascii="Aptos" w:hAnsi="Aptos"/>
          <w:b w:val="0"/>
          <w:i w:val="0"/>
          <w:color w:val="172033"/>
          <w:sz w:val="19"/>
        </w:rPr>
        <w:t>Target WCAG 2.2 AA; keyboard-complete; logical heading and landmark structure.</w:t>
      </w:r>
    </w:p>
    <w:p>
      <w:pPr>
        <w:pStyle w:val="ListBullet"/>
        <w:spacing w:after="60" w:line="259" w:lineRule="auto"/>
        <w:ind w:left="360" w:hanging="259"/>
      </w:pPr>
      <w:r>
        <w:rPr>
          <w:rFonts w:ascii="Aptos" w:hAnsi="Aptos"/>
          <w:b w:val="0"/>
          <w:i w:val="0"/>
          <w:color w:val="172033"/>
          <w:sz w:val="19"/>
        </w:rPr>
        <w:t>Visible focus, skip link, semantic controls, form labels, inline errors and error summary.</w:t>
      </w:r>
    </w:p>
    <w:p>
      <w:pPr>
        <w:pStyle w:val="ListBullet"/>
        <w:spacing w:after="60" w:line="259" w:lineRule="auto"/>
        <w:ind w:left="360" w:hanging="259"/>
      </w:pPr>
      <w:r>
        <w:rPr>
          <w:rFonts w:ascii="Aptos" w:hAnsi="Aptos"/>
          <w:b w:val="0"/>
          <w:i w:val="0"/>
          <w:color w:val="172033"/>
          <w:sz w:val="19"/>
        </w:rPr>
        <w:t>Touch targets ≥44×44 px; text zoom to 200%; reflow at 320 CSS px without loss.</w:t>
      </w:r>
    </w:p>
    <w:p>
      <w:pPr>
        <w:pStyle w:val="ListBullet"/>
        <w:spacing w:after="60" w:line="259" w:lineRule="auto"/>
        <w:ind w:left="360" w:hanging="259"/>
      </w:pPr>
      <w:r>
        <w:rPr>
          <w:rFonts w:ascii="Aptos" w:hAnsi="Aptos"/>
          <w:b w:val="0"/>
          <w:i w:val="0"/>
          <w:color w:val="172033"/>
          <w:sz w:val="19"/>
        </w:rPr>
        <w:t>Contrast: 4.5:1 normal text, 3:1 large text and UI boundaries. Glass does not reduce readability.</w:t>
      </w:r>
    </w:p>
    <w:p>
      <w:pPr>
        <w:pStyle w:val="ListBullet"/>
        <w:spacing w:after="60" w:line="259" w:lineRule="auto"/>
        <w:ind w:left="360" w:hanging="259"/>
      </w:pPr>
      <w:r>
        <w:rPr>
          <w:rFonts w:ascii="Aptos" w:hAnsi="Aptos"/>
          <w:b w:val="0"/>
          <w:i w:val="0"/>
          <w:color w:val="172033"/>
          <w:sz w:val="19"/>
        </w:rPr>
        <w:t>Reduced motion disables parallax, auto-orbits, celebratory motion and smooth-scrolling dependence.</w:t>
      </w:r>
    </w:p>
    <w:p>
      <w:pPr>
        <w:pStyle w:val="ListBullet"/>
        <w:spacing w:after="60" w:line="259" w:lineRule="auto"/>
        <w:ind w:left="360" w:hanging="259"/>
      </w:pPr>
      <w:r>
        <w:rPr>
          <w:rFonts w:ascii="Aptos" w:hAnsi="Aptos"/>
          <w:b w:val="0"/>
          <w:i w:val="0"/>
          <w:color w:val="172033"/>
          <w:sz w:val="19"/>
        </w:rPr>
        <w:t>Product imagery has meaningful alt text; decorative 3D is hidden from assistive tech; viewer has equivalent specs.</w:t>
      </w:r>
    </w:p>
    <w:p>
      <w:r>
        <w:br w:type="page"/>
      </w:r>
    </w:p>
    <w:p>
      <w:pPr>
        <w:pStyle w:val="Heading1"/>
      </w:pPr>
      <w:r>
        <w:t>8. Catalog proof of concept</w:t>
      </w:r>
    </w:p>
    <w:p>
      <w:pPr>
        <w:pStyle w:val="Heading2"/>
      </w:pPr>
      <w:r>
        <w:t>500-SKU composition</w:t>
      </w:r>
    </w:p>
    <w:tbl>
      <w:tblPr>
        <w:tblW w:type="auto" w:w="0"/>
        <w:jc w:val="center"/>
        <w:tblLayout w:type="fixed"/>
        <w:tblLook w:firstColumn="1" w:firstRow="1" w:lastColumn="0" w:lastRow="0" w:noHBand="0" w:noVBand="1" w:val="04A0"/>
      </w:tblPr>
      <w:tblGrid>
        <w:gridCol w:w="3216"/>
        <w:gridCol w:w="3216"/>
        <w:gridCol w:w="3216"/>
      </w:tblGrid>
      <w:tr>
        <w:tc>
          <w:tcPr>
            <w:tcW w:type="dxa" w:w="3744"/>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Category</w:t>
            </w:r>
          </w:p>
        </w:tc>
        <w:tc>
          <w:tcPr>
            <w:tcW w:type="dxa" w:w="1656"/>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Seed SKUs</w:t>
            </w:r>
          </w:p>
        </w:tc>
        <w:tc>
          <w:tcPr>
            <w:tcW w:type="dxa" w:w="3888"/>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Hero media</w:t>
            </w:r>
          </w:p>
        </w:tc>
      </w:tr>
      <w:tr>
        <w:tc>
          <w:tcPr>
            <w:tcW w:type="dxa" w:w="374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Mobiles</w:t>
            </w:r>
          </w:p>
        </w:tc>
        <w:tc>
          <w:tcPr>
            <w:tcW w:type="dxa" w:w="165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32</w:t>
            </w:r>
          </w:p>
        </w:tc>
        <w:tc>
          <w:tcPr>
            <w:tcW w:type="dxa" w:w="388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3D/360 for top 2–4; image for remainder</w:t>
            </w:r>
          </w:p>
        </w:tc>
      </w:tr>
      <w:tr>
        <w:tc>
          <w:tcPr>
            <w:tcW w:type="dxa" w:w="374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Laptops &amp; tablets</w:t>
            </w:r>
          </w:p>
        </w:tc>
        <w:tc>
          <w:tcPr>
            <w:tcW w:type="dxa" w:w="165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34</w:t>
            </w:r>
          </w:p>
        </w:tc>
        <w:tc>
          <w:tcPr>
            <w:tcW w:type="dxa" w:w="388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3D/360 for top 2–4; image for remainder</w:t>
            </w:r>
          </w:p>
        </w:tc>
      </w:tr>
      <w:tr>
        <w:tc>
          <w:tcPr>
            <w:tcW w:type="dxa" w:w="374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Desktop &amp; components</w:t>
            </w:r>
          </w:p>
        </w:tc>
        <w:tc>
          <w:tcPr>
            <w:tcW w:type="dxa" w:w="165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36</w:t>
            </w:r>
          </w:p>
        </w:tc>
        <w:tc>
          <w:tcPr>
            <w:tcW w:type="dxa" w:w="388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3D/360 for top 2–4; image for remainder</w:t>
            </w:r>
          </w:p>
        </w:tc>
      </w:tr>
      <w:tr>
        <w:tc>
          <w:tcPr>
            <w:tcW w:type="dxa" w:w="374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TV &amp; home theatre</w:t>
            </w:r>
          </w:p>
        </w:tc>
        <w:tc>
          <w:tcPr>
            <w:tcW w:type="dxa" w:w="165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32</w:t>
            </w:r>
          </w:p>
        </w:tc>
        <w:tc>
          <w:tcPr>
            <w:tcW w:type="dxa" w:w="388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3D/360 for top 2–4; image for remainder</w:t>
            </w:r>
          </w:p>
        </w:tc>
      </w:tr>
      <w:tr>
        <w:tc>
          <w:tcPr>
            <w:tcW w:type="dxa" w:w="374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Audio</w:t>
            </w:r>
          </w:p>
        </w:tc>
        <w:tc>
          <w:tcPr>
            <w:tcW w:type="dxa" w:w="165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32</w:t>
            </w:r>
          </w:p>
        </w:tc>
        <w:tc>
          <w:tcPr>
            <w:tcW w:type="dxa" w:w="388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3D/360 for top 2–4; image for remainder</w:t>
            </w:r>
          </w:p>
        </w:tc>
      </w:tr>
      <w:tr>
        <w:tc>
          <w:tcPr>
            <w:tcW w:type="dxa" w:w="374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Refrigerators</w:t>
            </w:r>
          </w:p>
        </w:tc>
        <w:tc>
          <w:tcPr>
            <w:tcW w:type="dxa" w:w="165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24</w:t>
            </w:r>
          </w:p>
        </w:tc>
        <w:tc>
          <w:tcPr>
            <w:tcW w:type="dxa" w:w="388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3D/360 for top 2–4; image for remainder</w:t>
            </w:r>
          </w:p>
        </w:tc>
      </w:tr>
      <w:tr>
        <w:tc>
          <w:tcPr>
            <w:tcW w:type="dxa" w:w="374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Washing machines</w:t>
            </w:r>
          </w:p>
        </w:tc>
        <w:tc>
          <w:tcPr>
            <w:tcW w:type="dxa" w:w="165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24</w:t>
            </w:r>
          </w:p>
        </w:tc>
        <w:tc>
          <w:tcPr>
            <w:tcW w:type="dxa" w:w="388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3D/360 for top 2–4; image for remainder</w:t>
            </w:r>
          </w:p>
        </w:tc>
      </w:tr>
      <w:tr>
        <w:tc>
          <w:tcPr>
            <w:tcW w:type="dxa" w:w="374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Air conditioners &amp; coolers</w:t>
            </w:r>
          </w:p>
        </w:tc>
        <w:tc>
          <w:tcPr>
            <w:tcW w:type="dxa" w:w="165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26</w:t>
            </w:r>
          </w:p>
        </w:tc>
        <w:tc>
          <w:tcPr>
            <w:tcW w:type="dxa" w:w="388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3D/360 for top 2–4; image for remainder</w:t>
            </w:r>
          </w:p>
        </w:tc>
      </w:tr>
      <w:tr>
        <w:tc>
          <w:tcPr>
            <w:tcW w:type="dxa" w:w="374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Kitchen appliances</w:t>
            </w:r>
          </w:p>
        </w:tc>
        <w:tc>
          <w:tcPr>
            <w:tcW w:type="dxa" w:w="165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32</w:t>
            </w:r>
          </w:p>
        </w:tc>
        <w:tc>
          <w:tcPr>
            <w:tcW w:type="dxa" w:w="388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3D/360 for top 2–4; image for remainder</w:t>
            </w:r>
          </w:p>
        </w:tc>
      </w:tr>
      <w:tr>
        <w:tc>
          <w:tcPr>
            <w:tcW w:type="dxa" w:w="374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Small home appliances</w:t>
            </w:r>
          </w:p>
        </w:tc>
        <w:tc>
          <w:tcPr>
            <w:tcW w:type="dxa" w:w="165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28</w:t>
            </w:r>
          </w:p>
        </w:tc>
        <w:tc>
          <w:tcPr>
            <w:tcW w:type="dxa" w:w="388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3D/360 for top 2–4; image for remainder</w:t>
            </w:r>
          </w:p>
        </w:tc>
      </w:tr>
      <w:tr>
        <w:tc>
          <w:tcPr>
            <w:tcW w:type="dxa" w:w="374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Cameras &amp; imaging</w:t>
            </w:r>
          </w:p>
        </w:tc>
        <w:tc>
          <w:tcPr>
            <w:tcW w:type="dxa" w:w="165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16</w:t>
            </w:r>
          </w:p>
        </w:tc>
        <w:tc>
          <w:tcPr>
            <w:tcW w:type="dxa" w:w="388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3D/360 for top 2–4; image for remainder</w:t>
            </w:r>
          </w:p>
        </w:tc>
      </w:tr>
      <w:tr>
        <w:tc>
          <w:tcPr>
            <w:tcW w:type="dxa" w:w="374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Gaming</w:t>
            </w:r>
          </w:p>
        </w:tc>
        <w:tc>
          <w:tcPr>
            <w:tcW w:type="dxa" w:w="165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24</w:t>
            </w:r>
          </w:p>
        </w:tc>
        <w:tc>
          <w:tcPr>
            <w:tcW w:type="dxa" w:w="388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3D/360 for top 2–4; image for remainder</w:t>
            </w:r>
          </w:p>
        </w:tc>
      </w:tr>
      <w:tr>
        <w:tc>
          <w:tcPr>
            <w:tcW w:type="dxa" w:w="374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Networking</w:t>
            </w:r>
          </w:p>
        </w:tc>
        <w:tc>
          <w:tcPr>
            <w:tcW w:type="dxa" w:w="165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24</w:t>
            </w:r>
          </w:p>
        </w:tc>
        <w:tc>
          <w:tcPr>
            <w:tcW w:type="dxa" w:w="388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3D/360 for top 2–4; image for remainder</w:t>
            </w:r>
          </w:p>
        </w:tc>
      </w:tr>
      <w:tr>
        <w:tc>
          <w:tcPr>
            <w:tcW w:type="dxa" w:w="374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CCTV &amp; security</w:t>
            </w:r>
          </w:p>
        </w:tc>
        <w:tc>
          <w:tcPr>
            <w:tcW w:type="dxa" w:w="165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22</w:t>
            </w:r>
          </w:p>
        </w:tc>
        <w:tc>
          <w:tcPr>
            <w:tcW w:type="dxa" w:w="388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3D/360 for top 2–4; image for remainder</w:t>
            </w:r>
          </w:p>
        </w:tc>
      </w:tr>
      <w:tr>
        <w:tc>
          <w:tcPr>
            <w:tcW w:type="dxa" w:w="374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Power &amp; backup</w:t>
            </w:r>
          </w:p>
        </w:tc>
        <w:tc>
          <w:tcPr>
            <w:tcW w:type="dxa" w:w="165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24</w:t>
            </w:r>
          </w:p>
        </w:tc>
        <w:tc>
          <w:tcPr>
            <w:tcW w:type="dxa" w:w="388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3D/360 for top 2–4; image for remainder</w:t>
            </w:r>
          </w:p>
        </w:tc>
      </w:tr>
      <w:tr>
        <w:tc>
          <w:tcPr>
            <w:tcW w:type="dxa" w:w="374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Smart home</w:t>
            </w:r>
          </w:p>
        </w:tc>
        <w:tc>
          <w:tcPr>
            <w:tcW w:type="dxa" w:w="165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20</w:t>
            </w:r>
          </w:p>
        </w:tc>
        <w:tc>
          <w:tcPr>
            <w:tcW w:type="dxa" w:w="388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3D/360 for top 2–4; image for remainder</w:t>
            </w:r>
          </w:p>
        </w:tc>
      </w:tr>
      <w:tr>
        <w:tc>
          <w:tcPr>
            <w:tcW w:type="dxa" w:w="374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Wearables</w:t>
            </w:r>
          </w:p>
        </w:tc>
        <w:tc>
          <w:tcPr>
            <w:tcW w:type="dxa" w:w="165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18</w:t>
            </w:r>
          </w:p>
        </w:tc>
        <w:tc>
          <w:tcPr>
            <w:tcW w:type="dxa" w:w="388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3D/360 for top 2–4; image for remainder</w:t>
            </w:r>
          </w:p>
        </w:tc>
      </w:tr>
      <w:tr>
        <w:tc>
          <w:tcPr>
            <w:tcW w:type="dxa" w:w="374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Mobile accessories</w:t>
            </w:r>
          </w:p>
        </w:tc>
        <w:tc>
          <w:tcPr>
            <w:tcW w:type="dxa" w:w="165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32</w:t>
            </w:r>
          </w:p>
        </w:tc>
        <w:tc>
          <w:tcPr>
            <w:tcW w:type="dxa" w:w="388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3D/360 for top 2–4; image for remainder</w:t>
            </w:r>
          </w:p>
        </w:tc>
      </w:tr>
      <w:tr>
        <w:tc>
          <w:tcPr>
            <w:tcW w:type="dxa" w:w="3744"/>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Computer accessories</w:t>
            </w:r>
          </w:p>
        </w:tc>
        <w:tc>
          <w:tcPr>
            <w:tcW w:type="dxa" w:w="165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28</w:t>
            </w:r>
          </w:p>
        </w:tc>
        <w:tc>
          <w:tcPr>
            <w:tcW w:type="dxa" w:w="388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3D/360 for top 2–4; image for remainder</w:t>
            </w:r>
          </w:p>
        </w:tc>
      </w:tr>
      <w:tr>
        <w:tc>
          <w:tcPr>
            <w:tcW w:type="dxa" w:w="3744"/>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Electronic components &amp; tools</w:t>
            </w:r>
          </w:p>
        </w:tc>
        <w:tc>
          <w:tcPr>
            <w:tcW w:type="dxa" w:w="165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24</w:t>
            </w:r>
          </w:p>
        </w:tc>
        <w:tc>
          <w:tcPr>
            <w:tcW w:type="dxa" w:w="388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3D/360 for top 2–4; image for remainder</w:t>
            </w:r>
          </w:p>
        </w:tc>
      </w:tr>
    </w:tbl>
    <w:p>
      <w:pPr>
        <w:spacing w:after="20"/>
      </w:pPr>
    </w:p>
    <w:p>
      <w:pPr>
        <w:spacing w:after="120" w:line="269" w:lineRule="auto"/>
      </w:pPr>
      <w:r>
        <w:rPr>
          <w:rFonts w:ascii="Aptos" w:hAnsi="Aptos"/>
          <w:b w:val="0"/>
          <w:i w:val="0"/>
          <w:color w:val="172033"/>
          <w:sz w:val="20"/>
        </w:rPr>
        <w:t>Total: 500 seeded SKUs. The accompanying catalog CSV defines every item, indicative INR price, retail/wholesale eligibility, image direction and a lightweight animation treatment. Names and commercial values are synthetic; brand-like examples must be replaced or licensed before publication.</w:t>
      </w:r>
    </w:p>
    <w:p>
      <w:pPr>
        <w:pStyle w:val="Heading2"/>
      </w:pPr>
      <w:r>
        <w:t>Product data completeness</w:t>
      </w:r>
    </w:p>
    <w:p>
      <w:pPr>
        <w:pStyle w:val="ListBullet"/>
        <w:spacing w:after="60" w:line="259" w:lineRule="auto"/>
        <w:ind w:left="360" w:hanging="259"/>
      </w:pPr>
      <w:r>
        <w:rPr>
          <w:rFonts w:ascii="Aptos" w:hAnsi="Aptos"/>
          <w:b w:val="0"/>
          <w:i w:val="0"/>
          <w:color w:val="172033"/>
          <w:sz w:val="19"/>
        </w:rPr>
        <w:t>Required: SKU, title, slug, category, brand, model, price, tax class, stock, images, short description, key attributes, warranty, fulfilment flags and status.</w:t>
      </w:r>
    </w:p>
    <w:p>
      <w:pPr>
        <w:pStyle w:val="ListBullet"/>
        <w:spacing w:after="60" w:line="259" w:lineRule="auto"/>
        <w:ind w:left="360" w:hanging="259"/>
      </w:pPr>
      <w:r>
        <w:rPr>
          <w:rFonts w:ascii="Aptos" w:hAnsi="Aptos"/>
          <w:b w:val="0"/>
          <w:i w:val="0"/>
          <w:color w:val="172033"/>
          <w:sz w:val="19"/>
        </w:rPr>
        <w:t>Wholesale: MOQ, pack size, tier breaks, protected price, lead time and quote eligibility.</w:t>
      </w:r>
    </w:p>
    <w:p>
      <w:pPr>
        <w:pStyle w:val="ListBullet"/>
        <w:spacing w:after="60" w:line="259" w:lineRule="auto"/>
        <w:ind w:left="360" w:hanging="259"/>
      </w:pPr>
      <w:r>
        <w:rPr>
          <w:rFonts w:ascii="Aptos" w:hAnsi="Aptos"/>
          <w:b w:val="0"/>
          <w:i w:val="0"/>
          <w:color w:val="172033"/>
          <w:sz w:val="19"/>
        </w:rPr>
        <w:t>Media: 1:1 card image, 4:3 gallery, mobile crop, alt text, focal point, rights owner, license and expiry.</w:t>
      </w:r>
    </w:p>
    <w:p>
      <w:pPr>
        <w:pStyle w:val="ListBullet"/>
        <w:spacing w:after="60" w:line="259" w:lineRule="auto"/>
        <w:ind w:left="360" w:hanging="259"/>
      </w:pPr>
      <w:r>
        <w:rPr>
          <w:rFonts w:ascii="Aptos" w:hAnsi="Aptos"/>
          <w:b w:val="0"/>
          <w:i w:val="0"/>
          <w:color w:val="172033"/>
          <w:sz w:val="19"/>
        </w:rPr>
        <w:t>3D: glTF/GLB, Draco/KTX2 where appropriate, poster, dimensions, hotspots and fallback.</w:t>
      </w:r>
    </w:p>
    <w:p>
      <w:pPr>
        <w:pStyle w:val="ListBullet"/>
        <w:spacing w:after="60" w:line="259" w:lineRule="auto"/>
        <w:ind w:left="360" w:hanging="259"/>
      </w:pPr>
      <w:r>
        <w:rPr>
          <w:rFonts w:ascii="Aptos" w:hAnsi="Aptos"/>
          <w:b w:val="0"/>
          <w:i w:val="0"/>
          <w:color w:val="172033"/>
          <w:sz w:val="19"/>
        </w:rPr>
        <w:t>Quality gate: no published product without price state, stock state, at least one licensed image, alt text and warranty owner.</w:t>
      </w:r>
    </w:p>
    <w:p>
      <w:pPr>
        <w:pStyle w:val="Heading2"/>
      </w:pPr>
      <w:r>
        <w:t>Image and animation sourcing</w:t>
      </w:r>
    </w:p>
    <w:p>
      <w:pPr>
        <w:spacing w:after="120" w:line="269" w:lineRule="auto"/>
      </w:pPr>
      <w:r>
        <w:rPr>
          <w:rFonts w:ascii="Aptos" w:hAnsi="Aptos"/>
          <w:b w:val="0"/>
          <w:i w:val="0"/>
          <w:color w:val="172033"/>
          <w:sz w:val="20"/>
        </w:rPr>
        <w:t>For the POC, use generated or explicitly licensed images, or manufacturer media with documented permission. Do not hotlink search-result images. Product animation should be authored as reusable treatments—parallax card, hotspot reveal, 360 spin, exploded view, color swap—not 500 heavyweight videos. The seed CSV assigns a treatment per SKU so the UI can demonstrate variety efficiently.</w:t>
      </w:r>
    </w:p>
    <w:p>
      <w:r>
        <w:br w:type="page"/>
      </w:r>
    </w:p>
    <w:p>
      <w:pPr>
        <w:pStyle w:val="Heading1"/>
      </w:pPr>
      <w:r>
        <w:t>9. Measurement, operations and governance</w:t>
      </w:r>
    </w:p>
    <w:p>
      <w:pPr>
        <w:pStyle w:val="Heading2"/>
      </w:pPr>
      <w:r>
        <w:t>Event taxonomy</w:t>
      </w:r>
    </w:p>
    <w:tbl>
      <w:tblPr>
        <w:tblW w:type="auto" w:w="0"/>
        <w:jc w:val="center"/>
        <w:tblLayout w:type="fixed"/>
        <w:tblLook w:firstColumn="1" w:firstRow="1" w:lastColumn="0" w:lastRow="0" w:noHBand="0" w:noVBand="1" w:val="04A0"/>
      </w:tblPr>
      <w:tblGrid>
        <w:gridCol w:w="3216"/>
        <w:gridCol w:w="3216"/>
        <w:gridCol w:w="3216"/>
      </w:tblGrid>
      <w:tr>
        <w:tc>
          <w:tcPr>
            <w:tcW w:type="dxa" w:w="1728"/>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Journey</w:t>
            </w:r>
          </w:p>
        </w:tc>
        <w:tc>
          <w:tcPr>
            <w:tcW w:type="dxa" w:w="5112"/>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Core events</w:t>
            </w:r>
          </w:p>
        </w:tc>
        <w:tc>
          <w:tcPr>
            <w:tcW w:type="dxa" w:w="2376"/>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Primary metric</w:t>
            </w:r>
          </w:p>
        </w:tc>
      </w:tr>
      <w:tr>
        <w:tc>
          <w:tcPr>
            <w:tcW w:type="dxa" w:w="172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Discovery</w:t>
            </w:r>
          </w:p>
        </w:tc>
        <w:tc>
          <w:tcPr>
            <w:tcW w:type="dxa" w:w="511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search_submitted, autocomplete_selected, filter_applied, category_opened</w:t>
            </w:r>
          </w:p>
        </w:tc>
        <w:tc>
          <w:tcPr>
            <w:tcW w:type="dxa" w:w="237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Search success; zero-result rate</w:t>
            </w:r>
          </w:p>
        </w:tc>
      </w:tr>
      <w:tr>
        <w:tc>
          <w:tcPr>
            <w:tcW w:type="dxa" w:w="172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Evaluation</w:t>
            </w:r>
          </w:p>
        </w:tc>
        <w:tc>
          <w:tcPr>
            <w:tcW w:type="dxa" w:w="511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pdp_viewed, gallery_used, compare_added, bookmark_toggled</w:t>
            </w:r>
          </w:p>
        </w:tc>
        <w:tc>
          <w:tcPr>
            <w:tcW w:type="dxa" w:w="237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PDP→cart; save rate</w:t>
            </w:r>
          </w:p>
        </w:tc>
      </w:tr>
      <w:tr>
        <w:tc>
          <w:tcPr>
            <w:tcW w:type="dxa" w:w="172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Commerce</w:t>
            </w:r>
          </w:p>
        </w:tc>
        <w:tc>
          <w:tcPr>
            <w:tcW w:type="dxa" w:w="511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cart_added, checkout_started, payment_link_created, payment_result</w:t>
            </w:r>
          </w:p>
        </w:tc>
        <w:tc>
          <w:tcPr>
            <w:tcW w:type="dxa" w:w="237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Conversion; payment success</w:t>
            </w:r>
          </w:p>
        </w:tc>
      </w:tr>
      <w:tr>
        <w:tc>
          <w:tcPr>
            <w:tcW w:type="dxa" w:w="172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Wholesale</w:t>
            </w:r>
          </w:p>
        </w:tc>
        <w:tc>
          <w:tcPr>
            <w:tcW w:type="dxa" w:w="511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business_signup, verification_state, tier_viewed, quote_requested</w:t>
            </w:r>
          </w:p>
        </w:tc>
        <w:tc>
          <w:tcPr>
            <w:tcW w:type="dxa" w:w="237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Qualified activation; quote rate</w:t>
            </w:r>
          </w:p>
        </w:tc>
      </w:tr>
      <w:tr>
        <w:tc>
          <w:tcPr>
            <w:tcW w:type="dxa" w:w="172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Help</w:t>
            </w:r>
          </w:p>
        </w:tc>
        <w:tc>
          <w:tcPr>
            <w:tcW w:type="dxa" w:w="511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bot_opened, prompt_used, answer_feedback, handoff_started</w:t>
            </w:r>
          </w:p>
        </w:tc>
        <w:tc>
          <w:tcPr>
            <w:tcW w:type="dxa" w:w="237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Self-serve resolution</w:t>
            </w:r>
          </w:p>
        </w:tc>
      </w:tr>
      <w:tr>
        <w:tc>
          <w:tcPr>
            <w:tcW w:type="dxa" w:w="172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Share</w:t>
            </w:r>
          </w:p>
        </w:tc>
        <w:tc>
          <w:tcPr>
            <w:tcW w:type="dxa" w:w="511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qr_created, inventory_link_opened, shared_session_converted</w:t>
            </w:r>
          </w:p>
        </w:tc>
        <w:tc>
          <w:tcPr>
            <w:tcW w:type="dxa" w:w="237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Share→commerce rate</w:t>
            </w:r>
          </w:p>
        </w:tc>
      </w:tr>
    </w:tbl>
    <w:p>
      <w:pPr>
        <w:spacing w:after="20"/>
      </w:pPr>
    </w:p>
    <w:p>
      <w:pPr>
        <w:pStyle w:val="Heading2"/>
      </w:pPr>
      <w:r>
        <w:t>Operational consoles</w:t>
      </w:r>
    </w:p>
    <w:p>
      <w:pPr>
        <w:pStyle w:val="ListBullet"/>
        <w:spacing w:after="60" w:line="259" w:lineRule="auto"/>
        <w:ind w:left="360" w:hanging="259"/>
      </w:pPr>
      <w:r>
        <w:rPr>
          <w:rFonts w:ascii="Aptos" w:hAnsi="Aptos"/>
          <w:b w:val="0"/>
          <w:i w:val="0"/>
          <w:color w:val="172033"/>
          <w:sz w:val="19"/>
        </w:rPr>
        <w:t>Catalog/PIM: products, variants, attributes, media, documents, SEO and publication states.</w:t>
      </w:r>
    </w:p>
    <w:p>
      <w:pPr>
        <w:pStyle w:val="ListBullet"/>
        <w:spacing w:after="60" w:line="259" w:lineRule="auto"/>
        <w:ind w:left="360" w:hanging="259"/>
      </w:pPr>
      <w:r>
        <w:rPr>
          <w:rFonts w:ascii="Aptos" w:hAnsi="Aptos"/>
          <w:b w:val="0"/>
          <w:i w:val="0"/>
          <w:color w:val="172033"/>
          <w:sz w:val="19"/>
        </w:rPr>
        <w:t>Inventory/pricing: location stock, safety stock, price lists, offers, tiers and audit history.</w:t>
      </w:r>
    </w:p>
    <w:p>
      <w:pPr>
        <w:pStyle w:val="ListBullet"/>
        <w:spacing w:after="60" w:line="259" w:lineRule="auto"/>
        <w:ind w:left="360" w:hanging="259"/>
      </w:pPr>
      <w:r>
        <w:rPr>
          <w:rFonts w:ascii="Aptos" w:hAnsi="Aptos"/>
          <w:b w:val="0"/>
          <w:i w:val="0"/>
          <w:color w:val="172033"/>
          <w:sz w:val="19"/>
        </w:rPr>
        <w:t>Orders/quotes: payment state, fulfilment, invoices, refunds, quote versions and approvals.</w:t>
      </w:r>
    </w:p>
    <w:p>
      <w:pPr>
        <w:pStyle w:val="ListBullet"/>
        <w:spacing w:after="60" w:line="259" w:lineRule="auto"/>
        <w:ind w:left="360" w:hanging="259"/>
      </w:pPr>
      <w:r>
        <w:rPr>
          <w:rFonts w:ascii="Aptos" w:hAnsi="Aptos"/>
          <w:b w:val="0"/>
          <w:i w:val="0"/>
          <w:color w:val="172033"/>
          <w:sz w:val="19"/>
        </w:rPr>
        <w:t>Content: landing modules, announcement rail, buying guides, bot knowledge and localization.</w:t>
      </w:r>
    </w:p>
    <w:p>
      <w:pPr>
        <w:pStyle w:val="ListBullet"/>
        <w:spacing w:after="60" w:line="259" w:lineRule="auto"/>
        <w:ind w:left="360" w:hanging="259"/>
      </w:pPr>
      <w:r>
        <w:rPr>
          <w:rFonts w:ascii="Aptos" w:hAnsi="Aptos"/>
          <w:b w:val="0"/>
          <w:i w:val="0"/>
          <w:color w:val="172033"/>
          <w:sz w:val="19"/>
        </w:rPr>
        <w:t>Support: tickets, bot handoffs, order context and SLA queue.</w:t>
      </w:r>
    </w:p>
    <w:p>
      <w:pPr>
        <w:pStyle w:val="ListBullet"/>
        <w:spacing w:after="60" w:line="259" w:lineRule="auto"/>
        <w:ind w:left="360" w:hanging="259"/>
      </w:pPr>
      <w:r>
        <w:rPr>
          <w:rFonts w:ascii="Aptos" w:hAnsi="Aptos"/>
          <w:b w:val="0"/>
          <w:i w:val="0"/>
          <w:color w:val="172033"/>
          <w:sz w:val="19"/>
        </w:rPr>
        <w:t>Access: least-privilege roles, admin MFA, approval for price/policy changes and immutable audit log.</w:t>
      </w:r>
    </w:p>
    <w:p>
      <w:pPr>
        <w:pStyle w:val="Heading2"/>
      </w:pPr>
      <w:r>
        <w:t>POC acceptance criteria</w:t>
      </w:r>
    </w:p>
    <w:p>
      <w:pPr>
        <w:pStyle w:val="ListBullet"/>
        <w:spacing w:after="60" w:line="259" w:lineRule="auto"/>
        <w:ind w:left="360" w:hanging="259"/>
      </w:pPr>
      <w:r>
        <w:rPr>
          <w:rFonts w:ascii="Aptos" w:hAnsi="Aptos"/>
          <w:b w:val="0"/>
          <w:i w:val="0"/>
          <w:color w:val="172033"/>
          <w:sz w:val="19"/>
        </w:rPr>
        <w:t>All primary journeys work at 360, 768, 1024 and 1440 px reference widths.</w:t>
      </w:r>
    </w:p>
    <w:p>
      <w:pPr>
        <w:pStyle w:val="ListBullet"/>
        <w:spacing w:after="60" w:line="259" w:lineRule="auto"/>
        <w:ind w:left="360" w:hanging="259"/>
      </w:pPr>
      <w:r>
        <w:rPr>
          <w:rFonts w:ascii="Aptos" w:hAnsi="Aptos"/>
          <w:b w:val="0"/>
          <w:i w:val="0"/>
          <w:color w:val="172033"/>
          <w:sz w:val="19"/>
        </w:rPr>
        <w:t>Role switching and authentication states never leak protected pricing.</w:t>
      </w:r>
    </w:p>
    <w:p>
      <w:pPr>
        <w:pStyle w:val="ListBullet"/>
        <w:spacing w:after="60" w:line="259" w:lineRule="auto"/>
        <w:ind w:left="360" w:hanging="259"/>
      </w:pPr>
      <w:r>
        <w:rPr>
          <w:rFonts w:ascii="Aptos" w:hAnsi="Aptos"/>
          <w:b w:val="0"/>
          <w:i w:val="0"/>
          <w:color w:val="172033"/>
          <w:sz w:val="19"/>
        </w:rPr>
        <w:t>500 products load from seed data; search, facets, sort, pagination/infinite loading and compare work.</w:t>
      </w:r>
    </w:p>
    <w:p>
      <w:pPr>
        <w:pStyle w:val="ListBullet"/>
        <w:spacing w:after="60" w:line="259" w:lineRule="auto"/>
        <w:ind w:left="360" w:hanging="259"/>
      </w:pPr>
      <w:r>
        <w:rPr>
          <w:rFonts w:ascii="Aptos" w:hAnsi="Aptos"/>
          <w:b w:val="0"/>
          <w:i w:val="0"/>
          <w:color w:val="172033"/>
          <w:sz w:val="19"/>
        </w:rPr>
        <w:t>Bookmarking persists for guest and signed-in users; merge behavior is tested.</w:t>
      </w:r>
    </w:p>
    <w:p>
      <w:pPr>
        <w:pStyle w:val="ListBullet"/>
        <w:spacing w:after="60" w:line="259" w:lineRule="auto"/>
        <w:ind w:left="360" w:hanging="259"/>
      </w:pPr>
      <w:r>
        <w:rPr>
          <w:rFonts w:ascii="Aptos" w:hAnsi="Aptos"/>
          <w:b w:val="0"/>
          <w:i w:val="0"/>
          <w:color w:val="172033"/>
          <w:sz w:val="19"/>
        </w:rPr>
        <w:t>QR opens the intended inventory scope and honors expiry/revocation.</w:t>
      </w:r>
    </w:p>
    <w:p>
      <w:pPr>
        <w:pStyle w:val="ListBullet"/>
        <w:spacing w:after="60" w:line="259" w:lineRule="auto"/>
        <w:ind w:left="360" w:hanging="259"/>
      </w:pPr>
      <w:r>
        <w:rPr>
          <w:rFonts w:ascii="Aptos" w:hAnsi="Aptos"/>
          <w:b w:val="0"/>
          <w:i w:val="0"/>
          <w:color w:val="172033"/>
          <w:sz w:val="19"/>
        </w:rPr>
        <w:t>Bot answers only from approved content, links to source sections and hands off on uncertainty.</w:t>
      </w:r>
    </w:p>
    <w:p>
      <w:pPr>
        <w:pStyle w:val="ListBullet"/>
        <w:spacing w:after="60" w:line="259" w:lineRule="auto"/>
        <w:ind w:left="360" w:hanging="259"/>
      </w:pPr>
      <w:r>
        <w:rPr>
          <w:rFonts w:ascii="Aptos" w:hAnsi="Aptos"/>
          <w:b w:val="0"/>
          <w:i w:val="0"/>
          <w:color w:val="172033"/>
          <w:sz w:val="19"/>
        </w:rPr>
        <w:t>Checkout demonstrates final price and payment link clearly; no actual charge in POC.</w:t>
      </w:r>
    </w:p>
    <w:p>
      <w:pPr>
        <w:pStyle w:val="ListBullet"/>
        <w:spacing w:after="60" w:line="259" w:lineRule="auto"/>
        <w:ind w:left="360" w:hanging="259"/>
      </w:pPr>
      <w:r>
        <w:rPr>
          <w:rFonts w:ascii="Aptos" w:hAnsi="Aptos"/>
          <w:b w:val="0"/>
          <w:i w:val="0"/>
          <w:color w:val="172033"/>
          <w:sz w:val="19"/>
        </w:rPr>
        <w:t>Automated accessibility, unit, integration and end-to-end checks pass; manual keyboard and screen-reader smoke test passes.</w:t>
      </w:r>
    </w:p>
    <w:p>
      <w:pPr>
        <w:pStyle w:val="ListBullet"/>
        <w:spacing w:after="60" w:line="259" w:lineRule="auto"/>
        <w:ind w:left="360" w:hanging="259"/>
      </w:pPr>
      <w:r>
        <w:rPr>
          <w:rFonts w:ascii="Aptos" w:hAnsi="Aptos"/>
          <w:b w:val="0"/>
          <w:i w:val="0"/>
          <w:color w:val="172033"/>
          <w:sz w:val="19"/>
        </w:rPr>
        <w:t>Performance budgets are met on a mid-tier mobile test profile with 3D disabled and enabled separately.</w:t>
      </w:r>
    </w:p>
    <w:p>
      <w:pPr>
        <w:pStyle w:val="Heading2"/>
      </w:pPr>
      <w:r>
        <w:t>Risks and mitigations</w:t>
      </w:r>
    </w:p>
    <w:tbl>
      <w:tblPr>
        <w:tblW w:type="auto" w:w="0"/>
        <w:jc w:val="center"/>
        <w:tblLayout w:type="fixed"/>
        <w:tblLook w:firstColumn="1" w:firstRow="1" w:lastColumn="0" w:lastRow="0" w:noHBand="0" w:noVBand="1" w:val="04A0"/>
      </w:tblPr>
      <w:tblGrid>
        <w:gridCol w:w="3216"/>
        <w:gridCol w:w="3216"/>
        <w:gridCol w:w="3216"/>
      </w:tblGrid>
      <w:tr>
        <w:tc>
          <w:tcPr>
            <w:tcW w:type="dxa" w:w="2016"/>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Risk</w:t>
            </w:r>
          </w:p>
        </w:tc>
        <w:tc>
          <w:tcPr>
            <w:tcW w:type="dxa" w:w="2952"/>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Impact</w:t>
            </w:r>
          </w:p>
        </w:tc>
        <w:tc>
          <w:tcPr>
            <w:tcW w:type="dxa" w:w="4248"/>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Mitigation</w:t>
            </w:r>
          </w:p>
        </w:tc>
      </w:tr>
      <w:tr>
        <w:tc>
          <w:tcPr>
            <w:tcW w:type="dxa" w:w="201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3D and glass overuse</w:t>
            </w:r>
          </w:p>
        </w:tc>
        <w:tc>
          <w:tcPr>
            <w:tcW w:type="dxa" w:w="295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Slow, illegible, distracting</w:t>
            </w:r>
          </w:p>
        </w:tc>
        <w:tc>
          <w:tcPr>
            <w:tcW w:type="dxa" w:w="424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Progressive enhancement, opaque fallback, performance budget</w:t>
            </w:r>
          </w:p>
        </w:tc>
      </w:tr>
      <w:tr>
        <w:tc>
          <w:tcPr>
            <w:tcW w:type="dxa" w:w="201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Pricing leakage</w:t>
            </w:r>
          </w:p>
        </w:tc>
        <w:tc>
          <w:tcPr>
            <w:tcW w:type="dxa" w:w="295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Commercial and trust harm</w:t>
            </w:r>
          </w:p>
        </w:tc>
        <w:tc>
          <w:tcPr>
            <w:tcW w:type="dxa" w:w="424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Server-side authorization; separate price lists; tests</w:t>
            </w:r>
          </w:p>
        </w:tc>
      </w:tr>
      <w:tr>
        <w:tc>
          <w:tcPr>
            <w:tcW w:type="dxa" w:w="201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Stale inventory</w:t>
            </w:r>
          </w:p>
        </w:tc>
        <w:tc>
          <w:tcPr>
            <w:tcW w:type="dxa" w:w="295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Failed orders and support burden</w:t>
            </w:r>
          </w:p>
        </w:tc>
        <w:tc>
          <w:tcPr>
            <w:tcW w:type="dxa" w:w="424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Source timestamps, reservations, reconciliation and truthful labels</w:t>
            </w:r>
          </w:p>
        </w:tc>
      </w:tr>
      <w:tr>
        <w:tc>
          <w:tcPr>
            <w:tcW w:type="dxa" w:w="201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Bot hallucination</w:t>
            </w:r>
          </w:p>
        </w:tc>
        <w:tc>
          <w:tcPr>
            <w:tcW w:type="dxa" w:w="295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Wrong compatibility/policy advice</w:t>
            </w:r>
          </w:p>
        </w:tc>
        <w:tc>
          <w:tcPr>
            <w:tcW w:type="dxa" w:w="424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Retrieval-only knowledge, structured tools, confidence fallback</w:t>
            </w:r>
          </w:p>
        </w:tc>
      </w:tr>
      <w:tr>
        <w:tc>
          <w:tcPr>
            <w:tcW w:type="dxa" w:w="201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Image rights</w:t>
            </w:r>
          </w:p>
        </w:tc>
        <w:tc>
          <w:tcPr>
            <w:tcW w:type="dxa" w:w="295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Legal/reputation risk</w:t>
            </w:r>
          </w:p>
        </w:tc>
        <w:tc>
          <w:tcPr>
            <w:tcW w:type="dxa" w:w="424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Rights metadata, licensed/generative POC assets, takedown workflow</w:t>
            </w:r>
          </w:p>
        </w:tc>
      </w:tr>
      <w:tr>
        <w:tc>
          <w:tcPr>
            <w:tcW w:type="dxa" w:w="201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Dark patterns</w:t>
            </w:r>
          </w:p>
        </w:tc>
        <w:tc>
          <w:tcPr>
            <w:tcW w:type="dxa" w:w="295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Short-term lift, long-term distrust</w:t>
            </w:r>
          </w:p>
        </w:tc>
        <w:tc>
          <w:tcPr>
            <w:tcW w:type="dxa" w:w="424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Verified scarcity, clear totals, easy cancellation and consent</w:t>
            </w:r>
          </w:p>
        </w:tc>
      </w:tr>
    </w:tbl>
    <w:p>
      <w:pPr>
        <w:spacing w:after="20"/>
      </w:pPr>
    </w:p>
    <w:p>
      <w:pPr>
        <w:pStyle w:val="Heading1"/>
      </w:pPr>
      <w:r>
        <w:t>10. Delivery plan and open decisions</w:t>
      </w:r>
    </w:p>
    <w:p>
      <w:pPr>
        <w:pStyle w:val="Heading2"/>
      </w:pPr>
      <w:r>
        <w:t>Phased roadmap</w:t>
      </w:r>
    </w:p>
    <w:tbl>
      <w:tblPr>
        <w:tblW w:type="auto" w:w="0"/>
        <w:jc w:val="center"/>
        <w:tblLayout w:type="fixed"/>
        <w:tblLook w:firstColumn="1" w:firstRow="1" w:lastColumn="0" w:lastRow="0" w:noHBand="0" w:noVBand="1" w:val="04A0"/>
      </w:tblPr>
      <w:tblGrid>
        <w:gridCol w:w="3216"/>
        <w:gridCol w:w="3216"/>
        <w:gridCol w:w="3216"/>
      </w:tblGrid>
      <w:tr>
        <w:tc>
          <w:tcPr>
            <w:tcW w:type="dxa" w:w="1728"/>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Phase</w:t>
            </w:r>
          </w:p>
        </w:tc>
        <w:tc>
          <w:tcPr>
            <w:tcW w:type="dxa" w:w="2952"/>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Outcome</w:t>
            </w:r>
          </w:p>
        </w:tc>
        <w:tc>
          <w:tcPr>
            <w:tcW w:type="dxa" w:w="4536"/>
            <w:vAlign w:val="center"/>
            <w:tcMar>
              <w:top w:w="90" w:type="dxa"/>
              <w:start w:w="120" w:type="dxa"/>
              <w:bottom w:w="90" w:type="dxa"/>
              <w:end w:w="120" w:type="dxa"/>
            </w:tcMar>
            <w:shd w:fill="102A43"/>
          </w:tcPr>
          <w:p>
            <w:pPr>
              <w:spacing w:after="0" w:line="252" w:lineRule="auto"/>
            </w:pPr>
            <w:r/>
            <w:r>
              <w:rPr>
                <w:rFonts w:ascii="Aptos" w:hAnsi="Aptos"/>
                <w:b/>
                <w:i w:val="0"/>
                <w:color w:val="FFFFFF"/>
                <w:sz w:val="17"/>
              </w:rPr>
              <w:t>Indicative scope</w:t>
            </w:r>
          </w:p>
        </w:tc>
      </w:tr>
      <w:tr>
        <w:tc>
          <w:tcPr>
            <w:tcW w:type="dxa" w:w="172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0 — Discovery</w:t>
            </w:r>
          </w:p>
        </w:tc>
        <w:tc>
          <w:tcPr>
            <w:tcW w:type="dxa" w:w="295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Validated roles, taxonomy and operating constraints</w:t>
            </w:r>
          </w:p>
        </w:tc>
        <w:tc>
          <w:tcPr>
            <w:tcW w:type="dxa" w:w="453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Stakeholder workshop, content audit, buyer interviews, service map</w:t>
            </w:r>
          </w:p>
        </w:tc>
      </w:tr>
      <w:tr>
        <w:tc>
          <w:tcPr>
            <w:tcW w:type="dxa" w:w="172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1 — UX prototype</w:t>
            </w:r>
          </w:p>
        </w:tc>
        <w:tc>
          <w:tcPr>
            <w:tcW w:type="dxa" w:w="295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Testable responsive experience</w:t>
            </w:r>
          </w:p>
        </w:tc>
        <w:tc>
          <w:tcPr>
            <w:tcW w:type="dxa" w:w="453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Design system, landing, search, PLP, PDP, role flows, checkout, bot prototype</w:t>
            </w:r>
          </w:p>
        </w:tc>
      </w:tr>
      <w:tr>
        <w:tc>
          <w:tcPr>
            <w:tcW w:type="dxa" w:w="172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2 — POC build</w:t>
            </w:r>
          </w:p>
        </w:tc>
        <w:tc>
          <w:tcPr>
            <w:tcW w:type="dxa" w:w="295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End-to-end demonstrator with 500 products</w:t>
            </w:r>
          </w:p>
        </w:tc>
        <w:tc>
          <w:tcPr>
            <w:tcW w:type="dxa" w:w="453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Seed catalog, auth sandbox, bookmarks, compare, QR, payment sandbox, analytics</w:t>
            </w:r>
          </w:p>
        </w:tc>
      </w:tr>
      <w:tr>
        <w:tc>
          <w:tcPr>
            <w:tcW w:type="dxa" w:w="1728"/>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3 — Pilot</w:t>
            </w:r>
          </w:p>
        </w:tc>
        <w:tc>
          <w:tcPr>
            <w:tcW w:type="dxa" w:w="2952"/>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Controlled Pune launch</w:t>
            </w:r>
          </w:p>
        </w:tc>
        <w:tc>
          <w:tcPr>
            <w:tcW w:type="dxa" w:w="4536"/>
            <w:vAlign w:val="center"/>
            <w:tcMar>
              <w:top w:w="90" w:type="dxa"/>
              <w:start w:w="120" w:type="dxa"/>
              <w:bottom w:w="90" w:type="dxa"/>
              <w:end w:w="120" w:type="dxa"/>
            </w:tcMar>
            <w:shd w:fill="F5F7FB"/>
          </w:tcPr>
          <w:p>
            <w:pPr>
              <w:spacing w:after="0" w:line="252" w:lineRule="auto"/>
            </w:pPr>
            <w:r/>
            <w:r>
              <w:rPr>
                <w:rFonts w:ascii="Aptos" w:hAnsi="Aptos"/>
                <w:b w:val="0"/>
                <w:i w:val="0"/>
                <w:color w:val="172033"/>
                <w:sz w:val="17"/>
              </w:rPr>
              <w:t>Real catalog feeds, payments, fulfilment, support, security and performance hardening</w:t>
            </w:r>
          </w:p>
        </w:tc>
      </w:tr>
      <w:tr>
        <w:tc>
          <w:tcPr>
            <w:tcW w:type="dxa" w:w="1728"/>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4 — Scale</w:t>
            </w:r>
          </w:p>
        </w:tc>
        <w:tc>
          <w:tcPr>
            <w:tcW w:type="dxa" w:w="2952"/>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Operational optimization</w:t>
            </w:r>
          </w:p>
        </w:tc>
        <w:tc>
          <w:tcPr>
            <w:tcW w:type="dxa" w:w="4536"/>
            <w:vAlign w:val="center"/>
            <w:tcMar>
              <w:top w:w="90" w:type="dxa"/>
              <w:start w:w="120" w:type="dxa"/>
              <w:bottom w:w="90" w:type="dxa"/>
              <w:end w:w="120" w:type="dxa"/>
            </w:tcMar>
            <w:shd w:fill="FFFFFF"/>
          </w:tcPr>
          <w:p>
            <w:pPr>
              <w:spacing w:after="0" w:line="252" w:lineRule="auto"/>
            </w:pPr>
            <w:r/>
            <w:r>
              <w:rPr>
                <w:rFonts w:ascii="Aptos" w:hAnsi="Aptos"/>
                <w:b w:val="0"/>
                <w:i w:val="0"/>
                <w:color w:val="172033"/>
                <w:sz w:val="17"/>
              </w:rPr>
              <w:t>ERP/PIM integration, personalization, multilingual content, advanced B2B</w:t>
            </w:r>
          </w:p>
        </w:tc>
      </w:tr>
    </w:tbl>
    <w:p>
      <w:pPr>
        <w:spacing w:after="20"/>
      </w:pPr>
    </w:p>
    <w:p>
      <w:pPr>
        <w:pStyle w:val="Heading2"/>
      </w:pPr>
      <w:r>
        <w:t>Open decisions before production</w:t>
      </w:r>
    </w:p>
    <w:p>
      <w:pPr>
        <w:pStyle w:val="ListBullet"/>
        <w:spacing w:after="60" w:line="259" w:lineRule="auto"/>
        <w:ind w:left="360" w:hanging="259"/>
      </w:pPr>
      <w:r>
        <w:rPr>
          <w:rFonts w:ascii="Aptos" w:hAnsi="Aptos"/>
          <w:b w:val="0"/>
          <w:i w:val="0"/>
          <w:color w:val="172033"/>
          <w:sz w:val="19"/>
        </w:rPr>
        <w:t>Exact Balaji legal/store identity, address, service areas and fulfilment model.</w:t>
      </w:r>
    </w:p>
    <w:p>
      <w:pPr>
        <w:pStyle w:val="ListBullet"/>
        <w:spacing w:after="60" w:line="259" w:lineRule="auto"/>
        <w:ind w:left="360" w:hanging="259"/>
      </w:pPr>
      <w:r>
        <w:rPr>
          <w:rFonts w:ascii="Aptos" w:hAnsi="Aptos"/>
          <w:b w:val="0"/>
          <w:i w:val="0"/>
          <w:color w:val="172033"/>
          <w:sz w:val="19"/>
        </w:rPr>
        <w:t>Consumer electronics only vs inclusion of components, repair tools and electrical goods.</w:t>
      </w:r>
    </w:p>
    <w:p>
      <w:pPr>
        <w:pStyle w:val="ListBullet"/>
        <w:spacing w:after="60" w:line="259" w:lineRule="auto"/>
        <w:ind w:left="360" w:hanging="259"/>
      </w:pPr>
      <w:r>
        <w:rPr>
          <w:rFonts w:ascii="Aptos" w:hAnsi="Aptos"/>
          <w:b w:val="0"/>
          <w:i w:val="0"/>
          <w:color w:val="172033"/>
          <w:sz w:val="19"/>
        </w:rPr>
        <w:t>Owned stock, marketplace, dropship or hybrid inventory authority.</w:t>
      </w:r>
    </w:p>
    <w:p>
      <w:pPr>
        <w:pStyle w:val="ListBullet"/>
        <w:spacing w:after="60" w:line="259" w:lineRule="auto"/>
        <w:ind w:left="360" w:hanging="259"/>
      </w:pPr>
      <w:r>
        <w:rPr>
          <w:rFonts w:ascii="Aptos" w:hAnsi="Aptos"/>
          <w:b w:val="0"/>
          <w:i w:val="0"/>
          <w:color w:val="172033"/>
          <w:sz w:val="19"/>
        </w:rPr>
        <w:t>Wholesale eligibility rules, price tiers, MOQ, credit policy and verification SLA.</w:t>
      </w:r>
    </w:p>
    <w:p>
      <w:pPr>
        <w:pStyle w:val="ListBullet"/>
        <w:spacing w:after="60" w:line="259" w:lineRule="auto"/>
        <w:ind w:left="360" w:hanging="259"/>
      </w:pPr>
      <w:r>
        <w:rPr>
          <w:rFonts w:ascii="Aptos" w:hAnsi="Aptos"/>
          <w:b w:val="0"/>
          <w:i w:val="0"/>
          <w:color w:val="172033"/>
          <w:sz w:val="19"/>
        </w:rPr>
        <w:t>Payment provider, COD policy, EMI partners, cancellation/refund policy and payment-link expiry.</w:t>
      </w:r>
    </w:p>
    <w:p>
      <w:pPr>
        <w:pStyle w:val="ListBullet"/>
        <w:spacing w:after="60" w:line="259" w:lineRule="auto"/>
        <w:ind w:left="360" w:hanging="259"/>
      </w:pPr>
      <w:r>
        <w:rPr>
          <w:rFonts w:ascii="Aptos" w:hAnsi="Aptos"/>
          <w:b w:val="0"/>
          <w:i w:val="0"/>
          <w:color w:val="172033"/>
          <w:sz w:val="19"/>
        </w:rPr>
        <w:t>Installation partners, warranty ownership, returns categories and reverse-logistics responsibility.</w:t>
      </w:r>
    </w:p>
    <w:p>
      <w:pPr>
        <w:pStyle w:val="ListBullet"/>
        <w:spacing w:after="60" w:line="259" w:lineRule="auto"/>
        <w:ind w:left="360" w:hanging="259"/>
      </w:pPr>
      <w:r>
        <w:rPr>
          <w:rFonts w:ascii="Aptos" w:hAnsi="Aptos"/>
          <w:b w:val="0"/>
          <w:i w:val="0"/>
          <w:color w:val="172033"/>
          <w:sz w:val="19"/>
        </w:rPr>
        <w:t>Brand assets, Marathi/Hindi launch requirement, photography rights and final product feed.</w:t>
      </w:r>
    </w:p>
    <w:p>
      <w:pPr>
        <w:pStyle w:val="Heading2"/>
      </w:pPr>
      <w:r>
        <w:t>Research sources</w:t>
      </w:r>
    </w:p>
    <w:p>
      <w:pPr>
        <w:spacing w:after="120" w:line="269" w:lineRule="auto"/>
      </w:pPr>
      <w:r>
        <w:rPr>
          <w:rFonts w:ascii="Aptos" w:hAnsi="Aptos"/>
          <w:b w:val="0"/>
          <w:i w:val="0"/>
          <w:color w:val="172033"/>
          <w:sz w:val="20"/>
        </w:rPr>
        <w:t>Maharashtra Electronics Corporation — Pune footprint and product range: https://mymec.in/about-us/</w:t>
      </w:r>
    </w:p>
    <w:p>
      <w:pPr>
        <w:spacing w:after="120" w:line="269" w:lineRule="auto"/>
      </w:pPr>
      <w:r>
        <w:rPr>
          <w:rFonts w:ascii="Aptos" w:hAnsi="Aptos"/>
          <w:b w:val="0"/>
          <w:i w:val="0"/>
          <w:color w:val="172033"/>
          <w:sz w:val="20"/>
        </w:rPr>
        <w:t>Raj Electronics Pune — local categories and delivery/installation cues: https://www.rajelectronicspune.com/</w:t>
      </w:r>
    </w:p>
    <w:p>
      <w:pPr>
        <w:spacing w:after="120" w:line="269" w:lineRule="auto"/>
      </w:pPr>
      <w:r>
        <w:rPr>
          <w:rFonts w:ascii="Aptos" w:hAnsi="Aptos"/>
          <w:b w:val="0"/>
          <w:i w:val="0"/>
          <w:color w:val="172033"/>
          <w:sz w:val="20"/>
        </w:rPr>
        <w:t>VIANET — Pune B2B distribution, GST billing and dealer pricing: https://www.vianet.co.in/</w:t>
      </w:r>
    </w:p>
    <w:p>
      <w:pPr>
        <w:spacing w:after="120" w:line="269" w:lineRule="auto"/>
      </w:pPr>
      <w:r>
        <w:rPr>
          <w:rFonts w:ascii="Aptos" w:hAnsi="Aptos"/>
          <w:b w:val="0"/>
          <w:i w:val="0"/>
          <w:color w:val="172033"/>
          <w:sz w:val="20"/>
        </w:rPr>
        <w:t>LeeComp Pune — wholesale computing and component mix: https://www.leecomp.in/</w:t>
      </w:r>
    </w:p>
    <w:p>
      <w:pPr>
        <w:spacing w:after="120" w:line="269" w:lineRule="auto"/>
      </w:pPr>
      <w:r>
        <w:rPr>
          <w:rFonts w:ascii="Aptos" w:hAnsi="Aptos"/>
          <w:b w:val="0"/>
          <w:i w:val="0"/>
          <w:color w:val="172033"/>
          <w:sz w:val="20"/>
        </w:rPr>
        <w:t>Bajaj Finserv/Croma Pune — mainstream category and store-location overview: https://www.bajajfinserv.in/shop-on-emi-at-croma-store-in-pune</w:t>
      </w:r>
    </w:p>
    <w:p>
      <w:pPr>
        <w:spacing w:after="120" w:line="269" w:lineRule="auto"/>
      </w:pPr>
      <w:r>
        <w:rPr>
          <w:rFonts w:ascii="Aptos" w:hAnsi="Aptos"/>
          <w:b w:val="0"/>
          <w:i w:val="0"/>
          <w:color w:val="172033"/>
          <w:sz w:val="20"/>
        </w:rPr>
        <w:t>Dribbble reference — Crookeries Ecommerce Website: https://dribbble.com/shots/26163743-Crookeries-Ecommerce-Website</w:t>
      </w:r>
    </w:p>
    <w:sectPr w:rsidR="00FC693F" w:rsidRPr="0006063C" w:rsidSect="00034616">
      <w:headerReference w:type="default" r:id="rId9"/>
      <w:footerReference w:type="default" r:id="rId10"/>
      <w:pgSz w:w="12240" w:h="15840"/>
      <w:pgMar w:top="1123" w:right="1296" w:bottom="1123"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4748B"/>
        <w:sz w:val="16"/>
      </w:rPr>
      <w:t>Confidential working document  •  Pune  •  13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4748B"/>
        <w:sz w:val="16"/>
      </w:rPr>
      <w:t>BALAJI ELECTRONIC  /  PRODUCT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