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Aptos" w:hAnsi="Aptos"/>
          <w:b/>
          <w:i w:val="0"/>
          <w:color w:val="F97316"/>
          <w:sz w:val="22"/>
        </w:rPr>
        <w:t>BALAJI</w:t>
      </w:r>
    </w:p>
    <w:p>
      <w:pPr>
        <w:spacing w:after="80"/>
      </w:pPr>
      <w:r>
        <w:rPr>
          <w:rFonts w:ascii="Aptos" w:hAnsi="Aptos"/>
          <w:b/>
          <w:i w:val="0"/>
          <w:color w:val="102A43"/>
          <w:sz w:val="56"/>
        </w:rPr>
        <w:t>TECHNICAL REQUIREMENTS</w:t>
      </w:r>
    </w:p>
    <w:p>
      <w:pPr>
        <w:spacing w:after="240"/>
      </w:pPr>
      <w:r>
        <w:rPr>
          <w:rFonts w:ascii="Aptos" w:hAnsi="Aptos"/>
          <w:b w:val="0"/>
          <w:i w:val="0"/>
          <w:color w:val="2563EB"/>
          <w:sz w:val="28"/>
        </w:rPr>
        <w:t>Architecture, data, security, performance and delivery specification</w:t>
      </w:r>
    </w:p>
    <w:p>
      <w:pPr>
        <w:spacing w:after="40"/>
      </w:pPr>
      <w:r>
        <w:rPr>
          <w:rFonts w:ascii="Aptos" w:hAnsi="Aptos"/>
          <w:b/>
          <w:i w:val="0"/>
          <w:color w:val="64748B"/>
          <w:sz w:val="19"/>
        </w:rPr>
        <w:t xml:space="preserve">Companion to: </w:t>
      </w:r>
      <w:r>
        <w:rPr>
          <w:rFonts w:ascii="Aptos" w:hAnsi="Aptos"/>
          <w:b w:val="0"/>
          <w:i w:val="0"/>
          <w:color w:val="172033"/>
          <w:sz w:val="19"/>
        </w:rPr>
        <w:t>Balaji Electronic PRD v1.0</w:t>
      </w:r>
    </w:p>
    <w:p>
      <w:pPr>
        <w:spacing w:after="40"/>
      </w:pPr>
      <w:r>
        <w:rPr>
          <w:rFonts w:ascii="Aptos" w:hAnsi="Aptos"/>
          <w:b/>
          <w:i w:val="0"/>
          <w:color w:val="64748B"/>
          <w:sz w:val="19"/>
        </w:rPr>
        <w:t xml:space="preserve">Status: </w:t>
      </w:r>
      <w:r>
        <w:rPr>
          <w:rFonts w:ascii="Aptos" w:hAnsi="Aptos"/>
          <w:b w:val="0"/>
          <w:i w:val="0"/>
          <w:color w:val="172033"/>
          <w:sz w:val="19"/>
        </w:rPr>
        <w:t>POC technical baseline</w:t>
      </w:r>
    </w:p>
    <w:p>
      <w:pPr>
        <w:spacing w:after="40"/>
      </w:pPr>
      <w:r>
        <w:rPr>
          <w:rFonts w:ascii="Aptos" w:hAnsi="Aptos"/>
          <w:b/>
          <w:i w:val="0"/>
          <w:color w:val="64748B"/>
          <w:sz w:val="19"/>
        </w:rPr>
        <w:t xml:space="preserve">Target: </w:t>
      </w:r>
      <w:r>
        <w:rPr>
          <w:rFonts w:ascii="Aptos" w:hAnsi="Aptos"/>
          <w:b w:val="0"/>
          <w:i w:val="0"/>
          <w:color w:val="172033"/>
          <w:sz w:val="19"/>
        </w:rPr>
        <w:t>Responsive commerce PWA for Pune retail and wholesale</w:t>
      </w:r>
    </w:p>
    <w:p>
      <w:pPr>
        <w:spacing w:after="40"/>
      </w:pPr>
      <w:r>
        <w:rPr>
          <w:rFonts w:ascii="Aptos" w:hAnsi="Aptos"/>
          <w:b/>
          <w:i w:val="0"/>
          <w:color w:val="64748B"/>
          <w:sz w:val="19"/>
        </w:rPr>
        <w:t xml:space="preserve">Principle: </w:t>
      </w:r>
      <w:r>
        <w:rPr>
          <w:rFonts w:ascii="Aptos" w:hAnsi="Aptos"/>
          <w:b w:val="0"/>
          <w:i w:val="0"/>
          <w:color w:val="172033"/>
          <w:sz w:val="19"/>
        </w:rPr>
        <w:t>Fast core commerce; 3D and AI as progressive enhancements</w:t>
      </w:r>
    </w:p>
    <w:p>
      <w:pPr>
        <w:spacing w:before="160" w:after="160"/>
        <w:pBdr>
          <w:bottom w:val="single" w:sz="18" w:color="06B6D4"/>
        </w:pBdr>
      </w:pPr>
    </w:p>
    <w:tbl>
      <w:tblPr>
        <w:tblW w:type="auto" w:w="0"/>
        <w:tblLayout w:type="fixed"/>
        <w:tblLook w:firstColumn="1" w:firstRow="1" w:lastColumn="0" w:lastRow="0" w:noHBand="0" w:noVBand="1" w:val="04A0"/>
      </w:tblPr>
      <w:tblGrid>
        <w:gridCol w:w="9072"/>
      </w:tblGrid>
      <w:tr>
        <w:tc>
          <w:tcPr>
            <w:tcW w:type="dxa" w:w="9648"/>
            <w:shd w:fill="E8F0FE"/>
            <w:tcMar>
              <w:top w:w="140" w:type="dxa"/>
              <w:start w:w="180" w:type="dxa"/>
              <w:bottom w:w="140" w:type="dxa"/>
              <w:end w:w="180" w:type="dxa"/>
            </w:tcMar>
          </w:tcPr>
          <w:p>
            <w:pPr>
              <w:spacing w:after="40"/>
            </w:pPr>
            <w:r>
              <w:rPr>
                <w:rFonts w:ascii="Aptos" w:hAnsi="Aptos"/>
                <w:b/>
                <w:i w:val="0"/>
                <w:color w:val="2563EB"/>
                <w:sz w:val="18"/>
              </w:rPr>
              <w:t xml:space="preserve">ARCHITECTURE DECISION  </w:t>
            </w:r>
            <w:r>
              <w:rPr>
                <w:rFonts w:ascii="Aptos" w:hAnsi="Aptos"/>
                <w:b w:val="0"/>
                <w:i w:val="0"/>
                <w:color w:val="172033"/>
                <w:sz w:val="20"/>
              </w:rPr>
              <w:t>Use a modular monolith for the POC with strict domain boundaries and event interfaces. It is faster to ship and operate than premature microservices, while preserving clear extraction paths for search, inventory, media and AI.</w:t>
            </w:r>
          </w:p>
        </w:tc>
      </w:tr>
    </w:tbl>
    <w:p>
      <w:pPr>
        <w:spacing w:after="20"/>
      </w:pPr>
    </w:p>
    <w:p>
      <w:pPr>
        <w:pStyle w:val="Heading2"/>
      </w:pPr>
      <w:r>
        <w:t>Reference stack</w:t>
      </w:r>
    </w:p>
    <w:tbl>
      <w:tblPr>
        <w:tblW w:type="auto" w:w="0"/>
        <w:jc w:val="center"/>
        <w:tblLayout w:type="fixed"/>
        <w:tblLook w:firstColumn="1" w:firstRow="1" w:lastColumn="0" w:lastRow="0" w:noHBand="0" w:noVBand="1" w:val="04A0"/>
      </w:tblPr>
      <w:tblGrid>
        <w:gridCol w:w="3216"/>
        <w:gridCol w:w="3216"/>
        <w:gridCol w:w="3216"/>
      </w:tblGrid>
      <w:tr>
        <w:tc>
          <w:tcPr>
            <w:tcW w:type="dxa" w:w="1728"/>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Layer</w:t>
            </w:r>
          </w:p>
        </w:tc>
        <w:tc>
          <w:tcPr>
            <w:tcW w:type="dxa" w:w="3816"/>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Recommended baseline</w:t>
            </w:r>
          </w:p>
        </w:tc>
        <w:tc>
          <w:tcPr>
            <w:tcW w:type="dxa" w:w="3672"/>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Reason</w:t>
            </w:r>
          </w:p>
        </w:tc>
      </w:tr>
      <w:tr>
        <w:tc>
          <w:tcPr>
            <w:tcW w:type="dxa" w:w="172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Web</w:t>
            </w:r>
          </w:p>
        </w:tc>
        <w:tc>
          <w:tcPr>
            <w:tcW w:type="dxa" w:w="381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Next.js + TypeScript + React; server rendering; PWA</w:t>
            </w:r>
          </w:p>
        </w:tc>
        <w:tc>
          <w:tcPr>
            <w:tcW w:type="dxa" w:w="36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SEO, responsive delivery, shared UI and fast iteration</w:t>
            </w:r>
          </w:p>
        </w:tc>
      </w:tr>
      <w:tr>
        <w:tc>
          <w:tcPr>
            <w:tcW w:type="dxa" w:w="172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UI</w:t>
            </w:r>
          </w:p>
        </w:tc>
        <w:tc>
          <w:tcPr>
            <w:tcW w:type="dxa" w:w="381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Tailwind/CSS tokens + accessible headless primitives</w:t>
            </w:r>
          </w:p>
        </w:tc>
        <w:tc>
          <w:tcPr>
            <w:tcW w:type="dxa" w:w="36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Consistent system, glass fallbacks, keyboard support</w:t>
            </w:r>
          </w:p>
        </w:tc>
      </w:tr>
      <w:tr>
        <w:tc>
          <w:tcPr>
            <w:tcW w:type="dxa" w:w="172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Motion/3D</w:t>
            </w:r>
          </w:p>
        </w:tc>
        <w:tc>
          <w:tcPr>
            <w:tcW w:type="dxa" w:w="381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Motion library + Three.js/React Three Fiber; glTF</w:t>
            </w:r>
          </w:p>
        </w:tc>
        <w:tc>
          <w:tcPr>
            <w:tcW w:type="dxa" w:w="36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Controlled micro-motion and progressive 3D</w:t>
            </w:r>
          </w:p>
        </w:tc>
      </w:tr>
      <w:tr>
        <w:tc>
          <w:tcPr>
            <w:tcW w:type="dxa" w:w="172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API</w:t>
            </w:r>
          </w:p>
        </w:tc>
        <w:tc>
          <w:tcPr>
            <w:tcW w:type="dxa" w:w="381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Typed REST/OpenAPI or tRPC inside modular server</w:t>
            </w:r>
          </w:p>
        </w:tc>
        <w:tc>
          <w:tcPr>
            <w:tcW w:type="dxa" w:w="36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Contract clarity; simple POC deployment</w:t>
            </w:r>
          </w:p>
        </w:tc>
      </w:tr>
      <w:tr>
        <w:tc>
          <w:tcPr>
            <w:tcW w:type="dxa" w:w="172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Data</w:t>
            </w:r>
          </w:p>
        </w:tc>
        <w:tc>
          <w:tcPr>
            <w:tcW w:type="dxa" w:w="381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PostgreSQL; Redis-compatible cache/queue</w:t>
            </w:r>
          </w:p>
        </w:tc>
        <w:tc>
          <w:tcPr>
            <w:tcW w:type="dxa" w:w="36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Transactional commerce plus fast session/cart/search support</w:t>
            </w:r>
          </w:p>
        </w:tc>
      </w:tr>
      <w:tr>
        <w:tc>
          <w:tcPr>
            <w:tcW w:type="dxa" w:w="172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Search</w:t>
            </w:r>
          </w:p>
        </w:tc>
        <w:tc>
          <w:tcPr>
            <w:tcW w:type="dxa" w:w="381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Postgres FTS initially; Meilisearch/Typesense extraction path</w:t>
            </w:r>
          </w:p>
        </w:tc>
        <w:tc>
          <w:tcPr>
            <w:tcW w:type="dxa" w:w="36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500-SKU POC simplicity with scalable interface</w:t>
            </w:r>
          </w:p>
        </w:tc>
      </w:tr>
      <w:tr>
        <w:tc>
          <w:tcPr>
            <w:tcW w:type="dxa" w:w="172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Storage/CDN</w:t>
            </w:r>
          </w:p>
        </w:tc>
        <w:tc>
          <w:tcPr>
            <w:tcW w:type="dxa" w:w="381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S3-compatible object storage + image CDN</w:t>
            </w:r>
          </w:p>
        </w:tc>
        <w:tc>
          <w:tcPr>
            <w:tcW w:type="dxa" w:w="36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Licensed media, transformations and caching</w:t>
            </w:r>
          </w:p>
        </w:tc>
      </w:tr>
      <w:tr>
        <w:tc>
          <w:tcPr>
            <w:tcW w:type="dxa" w:w="172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Auth</w:t>
            </w:r>
          </w:p>
        </w:tc>
        <w:tc>
          <w:tcPr>
            <w:tcW w:type="dxa" w:w="381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Managed OTP/OIDC provider or audited auth library</w:t>
            </w:r>
          </w:p>
        </w:tc>
        <w:tc>
          <w:tcPr>
            <w:tcW w:type="dxa" w:w="36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Safer identity and step-up verification</w:t>
            </w:r>
          </w:p>
        </w:tc>
      </w:tr>
      <w:tr>
        <w:tc>
          <w:tcPr>
            <w:tcW w:type="dxa" w:w="172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Payments</w:t>
            </w:r>
          </w:p>
        </w:tc>
        <w:tc>
          <w:tcPr>
            <w:tcW w:type="dxa" w:w="381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India-capable gateway sandbox; signed webhooks</w:t>
            </w:r>
          </w:p>
        </w:tc>
        <w:tc>
          <w:tcPr>
            <w:tcW w:type="dxa" w:w="36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UPI/cards/net banking/links/EMI based on provider</w:t>
            </w:r>
          </w:p>
        </w:tc>
      </w:tr>
      <w:tr>
        <w:tc>
          <w:tcPr>
            <w:tcW w:type="dxa" w:w="172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AI</w:t>
            </w:r>
          </w:p>
        </w:tc>
        <w:tc>
          <w:tcPr>
            <w:tcW w:type="dxa" w:w="381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Retrieval layer + tool-gated LLM + policy filters</w:t>
            </w:r>
          </w:p>
        </w:tc>
        <w:tc>
          <w:tcPr>
            <w:tcW w:type="dxa" w:w="36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Grounded site help; controlled actions</w:t>
            </w:r>
          </w:p>
        </w:tc>
      </w:tr>
    </w:tbl>
    <w:p>
      <w:pPr>
        <w:spacing w:after="20"/>
      </w:pPr>
    </w:p>
    <w:p>
      <w:r>
        <w:br w:type="page"/>
      </w:r>
    </w:p>
    <w:p>
      <w:pPr>
        <w:pStyle w:val="Heading1"/>
      </w:pPr>
      <w:r>
        <w:t>1. System context and domains</w:t>
      </w:r>
    </w:p>
    <w:p>
      <w:pPr>
        <w:pStyle w:val="Heading2"/>
      </w:pPr>
      <w:r>
        <w:t>Logical components</w:t>
      </w:r>
    </w:p>
    <w:p>
      <w:pPr>
        <w:pStyle w:val="ListBullet"/>
        <w:spacing w:after="60" w:line="259" w:lineRule="auto"/>
        <w:ind w:left="360" w:hanging="259"/>
      </w:pPr>
      <w:r>
        <w:rPr>
          <w:rFonts w:ascii="Aptos" w:hAnsi="Aptos"/>
          <w:b w:val="0"/>
          <w:i w:val="0"/>
          <w:color w:val="172033"/>
          <w:sz w:val="19"/>
        </w:rPr>
        <w:t>Web/PWA client: SSR/streamed pages, responsive UI, offline shell, motion and 3D capability detection.</w:t>
      </w:r>
    </w:p>
    <w:p>
      <w:pPr>
        <w:pStyle w:val="ListBullet"/>
        <w:spacing w:after="60" w:line="259" w:lineRule="auto"/>
        <w:ind w:left="360" w:hanging="259"/>
      </w:pPr>
      <w:r>
        <w:rPr>
          <w:rFonts w:ascii="Aptos" w:hAnsi="Aptos"/>
          <w:b w:val="0"/>
          <w:i w:val="0"/>
          <w:color w:val="172033"/>
          <w:sz w:val="19"/>
        </w:rPr>
        <w:t>Commerce API: catalog, pricing, inventory, customer, cart, promotion, checkout, orders, payments, quotes, bookmarks and sharing.</w:t>
      </w:r>
    </w:p>
    <w:p>
      <w:pPr>
        <w:pStyle w:val="ListBullet"/>
        <w:spacing w:after="60" w:line="259" w:lineRule="auto"/>
        <w:ind w:left="360" w:hanging="259"/>
      </w:pPr>
      <w:r>
        <w:rPr>
          <w:rFonts w:ascii="Aptos" w:hAnsi="Aptos"/>
          <w:b w:val="0"/>
          <w:i w:val="0"/>
          <w:color w:val="172033"/>
          <w:sz w:val="19"/>
        </w:rPr>
        <w:t>Back office: catalog/media, price lists, inventory, content, orders, quotes, user verification and audit.</w:t>
      </w:r>
    </w:p>
    <w:p>
      <w:pPr>
        <w:pStyle w:val="ListBullet"/>
        <w:spacing w:after="60" w:line="259" w:lineRule="auto"/>
        <w:ind w:left="360" w:hanging="259"/>
      </w:pPr>
      <w:r>
        <w:rPr>
          <w:rFonts w:ascii="Aptos" w:hAnsi="Aptos"/>
          <w:b w:val="0"/>
          <w:i w:val="0"/>
          <w:color w:val="172033"/>
          <w:sz w:val="19"/>
        </w:rPr>
        <w:t>Integration adapters: payment gateway, SMS/email, address/PIN validation, tax/invoice, courier/installation and future ERP/PIM.</w:t>
      </w:r>
    </w:p>
    <w:p>
      <w:pPr>
        <w:pStyle w:val="ListBullet"/>
        <w:spacing w:after="60" w:line="259" w:lineRule="auto"/>
        <w:ind w:left="360" w:hanging="259"/>
      </w:pPr>
      <w:r>
        <w:rPr>
          <w:rFonts w:ascii="Aptos" w:hAnsi="Aptos"/>
          <w:b w:val="0"/>
          <w:i w:val="0"/>
          <w:color w:val="172033"/>
          <w:sz w:val="19"/>
        </w:rPr>
        <w:t>AI gateway: approved knowledge index, structured product retrieval, tool allowlist, safety/PII redaction, evaluation and trace logging.</w:t>
      </w:r>
    </w:p>
    <w:p>
      <w:pPr>
        <w:pStyle w:val="ListBullet"/>
        <w:spacing w:after="60" w:line="259" w:lineRule="auto"/>
        <w:ind w:left="360" w:hanging="259"/>
      </w:pPr>
      <w:r>
        <w:rPr>
          <w:rFonts w:ascii="Aptos" w:hAnsi="Aptos"/>
          <w:b w:val="0"/>
          <w:i w:val="0"/>
          <w:color w:val="172033"/>
          <w:sz w:val="19"/>
        </w:rPr>
        <w:t>Observability: structured logs, traces, metrics, frontend vitals, error tracking, audit events and business analytics.</w:t>
      </w:r>
    </w:p>
    <w:p>
      <w:pPr>
        <w:pStyle w:val="Heading2"/>
      </w:pPr>
      <w:r>
        <w:t>Domain boundaries</w:t>
      </w:r>
    </w:p>
    <w:tbl>
      <w:tblPr>
        <w:tblW w:type="auto" w:w="0"/>
        <w:jc w:val="center"/>
        <w:tblLayout w:type="fixed"/>
        <w:tblLook w:firstColumn="1" w:firstRow="1" w:lastColumn="0" w:lastRow="0" w:noHBand="0" w:noVBand="1" w:val="04A0"/>
      </w:tblPr>
      <w:tblGrid>
        <w:gridCol w:w="3216"/>
        <w:gridCol w:w="3216"/>
        <w:gridCol w:w="3216"/>
      </w:tblGrid>
      <w:tr>
        <w:tc>
          <w:tcPr>
            <w:tcW w:type="dxa" w:w="1800"/>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Domain</w:t>
            </w:r>
          </w:p>
        </w:tc>
        <w:tc>
          <w:tcPr>
            <w:tcW w:type="dxa" w:w="3528"/>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Owns</w:t>
            </w:r>
          </w:p>
        </w:tc>
        <w:tc>
          <w:tcPr>
            <w:tcW w:type="dxa" w:w="3888"/>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Must not trust</w:t>
            </w:r>
          </w:p>
        </w:tc>
      </w:tr>
      <w:tr>
        <w:tc>
          <w:tcPr>
            <w:tcW w:type="dxa" w:w="180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Identity &amp; access</w:t>
            </w:r>
          </w:p>
        </w:tc>
        <w:tc>
          <w:tcPr>
            <w:tcW w:type="dxa" w:w="352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User, role, business profile, verification, sessions</w:t>
            </w:r>
          </w:p>
        </w:tc>
        <w:tc>
          <w:tcPr>
            <w:tcW w:type="dxa" w:w="388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Client-provided role or price tier</w:t>
            </w:r>
          </w:p>
        </w:tc>
      </w:tr>
      <w:tr>
        <w:tc>
          <w:tcPr>
            <w:tcW w:type="dxa" w:w="180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Catalog</w:t>
            </w:r>
          </w:p>
        </w:tc>
        <w:tc>
          <w:tcPr>
            <w:tcW w:type="dxa" w:w="352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Product/variant/category/attribute/media/document</w:t>
            </w:r>
          </w:p>
        </w:tc>
        <w:tc>
          <w:tcPr>
            <w:tcW w:type="dxa" w:w="388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Unlicensed external media</w:t>
            </w:r>
          </w:p>
        </w:tc>
      </w:tr>
      <w:tr>
        <w:tc>
          <w:tcPr>
            <w:tcW w:type="dxa" w:w="180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Pricing</w:t>
            </w:r>
          </w:p>
        </w:tc>
        <w:tc>
          <w:tcPr>
            <w:tcW w:type="dxa" w:w="352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Price lists, tax display, offers, tier calculation</w:t>
            </w:r>
          </w:p>
        </w:tc>
        <w:tc>
          <w:tcPr>
            <w:tcW w:type="dxa" w:w="388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Cached/client totals at checkout</w:t>
            </w:r>
          </w:p>
        </w:tc>
      </w:tr>
      <w:tr>
        <w:tc>
          <w:tcPr>
            <w:tcW w:type="dxa" w:w="180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Inventory</w:t>
            </w:r>
          </w:p>
        </w:tc>
        <w:tc>
          <w:tcPr>
            <w:tcW w:type="dxa" w:w="352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Location stock, availability, reservation, lead time</w:t>
            </w:r>
          </w:p>
        </w:tc>
        <w:tc>
          <w:tcPr>
            <w:tcW w:type="dxa" w:w="388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UI availability as fulfillment authority</w:t>
            </w:r>
          </w:p>
        </w:tc>
      </w:tr>
      <w:tr>
        <w:tc>
          <w:tcPr>
            <w:tcW w:type="dxa" w:w="180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Cart/checkout</w:t>
            </w:r>
          </w:p>
        </w:tc>
        <w:tc>
          <w:tcPr>
            <w:tcW w:type="dxa" w:w="352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Lines, adjustments, address, shipping, final quote</w:t>
            </w:r>
          </w:p>
        </w:tc>
        <w:tc>
          <w:tcPr>
            <w:tcW w:type="dxa" w:w="388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Product price embedded in request</w:t>
            </w:r>
          </w:p>
        </w:tc>
      </w:tr>
      <w:tr>
        <w:tc>
          <w:tcPr>
            <w:tcW w:type="dxa" w:w="180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Order/payment</w:t>
            </w:r>
          </w:p>
        </w:tc>
        <w:tc>
          <w:tcPr>
            <w:tcW w:type="dxa" w:w="352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Order state, payment intent/link, webhook ledger</w:t>
            </w:r>
          </w:p>
        </w:tc>
        <w:tc>
          <w:tcPr>
            <w:tcW w:type="dxa" w:w="388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Redirect result without signed webhook</w:t>
            </w:r>
          </w:p>
        </w:tc>
      </w:tr>
      <w:tr>
        <w:tc>
          <w:tcPr>
            <w:tcW w:type="dxa" w:w="180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Sharing</w:t>
            </w:r>
          </w:p>
        </w:tc>
        <w:tc>
          <w:tcPr>
            <w:tcW w:type="dxa" w:w="352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Short link, scope, filters, expiry/revocation</w:t>
            </w:r>
          </w:p>
        </w:tc>
        <w:tc>
          <w:tcPr>
            <w:tcW w:type="dxa" w:w="388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Protected price in public payload</w:t>
            </w:r>
          </w:p>
        </w:tc>
      </w:tr>
      <w:tr>
        <w:tc>
          <w:tcPr>
            <w:tcW w:type="dxa" w:w="180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AI help</w:t>
            </w:r>
          </w:p>
        </w:tc>
        <w:tc>
          <w:tcPr>
            <w:tcW w:type="dxa" w:w="352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Knowledge, conversations, citations, allowed tool calls</w:t>
            </w:r>
          </w:p>
        </w:tc>
        <w:tc>
          <w:tcPr>
            <w:tcW w:type="dxa" w:w="388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Model-generated commercial facts</w:t>
            </w:r>
          </w:p>
        </w:tc>
      </w:tr>
    </w:tbl>
    <w:p>
      <w:pPr>
        <w:spacing w:after="20"/>
      </w:pPr>
    </w:p>
    <w:p>
      <w:r>
        <w:br w:type="page"/>
      </w:r>
    </w:p>
    <w:p>
      <w:pPr>
        <w:pStyle w:val="Heading1"/>
      </w:pPr>
      <w:r>
        <w:t>2. Functional service requirements</w:t>
      </w:r>
    </w:p>
    <w:p>
      <w:pPr>
        <w:pStyle w:val="Heading2"/>
      </w:pPr>
      <w:r>
        <w:t>Identity and authorization</w:t>
      </w:r>
    </w:p>
    <w:p>
      <w:pPr>
        <w:pStyle w:val="ListBullet"/>
        <w:spacing w:after="60" w:line="259" w:lineRule="auto"/>
        <w:ind w:left="360" w:hanging="259"/>
      </w:pPr>
      <w:r>
        <w:rPr>
          <w:rFonts w:ascii="Aptos" w:hAnsi="Aptos"/>
          <w:b w:val="0"/>
          <w:i w:val="0"/>
          <w:color w:val="172033"/>
          <w:sz w:val="19"/>
        </w:rPr>
        <w:t>RBAC roles: guest, retail_customer, wholesale_pending, wholesale_verified, wholesale_suspended, catalog_editor, operations, support, finance_admin, super_admin.</w:t>
      </w:r>
    </w:p>
    <w:p>
      <w:pPr>
        <w:pStyle w:val="ListBullet"/>
        <w:spacing w:after="60" w:line="259" w:lineRule="auto"/>
        <w:ind w:left="360" w:hanging="259"/>
      </w:pPr>
      <w:r>
        <w:rPr>
          <w:rFonts w:ascii="Aptos" w:hAnsi="Aptos"/>
          <w:b w:val="0"/>
          <w:i w:val="0"/>
          <w:color w:val="172033"/>
          <w:sz w:val="19"/>
        </w:rPr>
        <w:t>Authorization is enforced server-side per resource and field. Wholesale prices are never serialized for unauthorized clients.</w:t>
      </w:r>
    </w:p>
    <w:p>
      <w:pPr>
        <w:pStyle w:val="ListBullet"/>
        <w:spacing w:after="60" w:line="259" w:lineRule="auto"/>
        <w:ind w:left="360" w:hanging="259"/>
      </w:pPr>
      <w:r>
        <w:rPr>
          <w:rFonts w:ascii="Aptos" w:hAnsi="Aptos"/>
          <w:b w:val="0"/>
          <w:i w:val="0"/>
          <w:color w:val="172033"/>
          <w:sz w:val="19"/>
        </w:rPr>
        <w:t>OTP endpoints are rate-limited by IP/device/identity; codes are hashed, short-lived and single-use.</w:t>
      </w:r>
    </w:p>
    <w:p>
      <w:pPr>
        <w:pStyle w:val="ListBullet"/>
        <w:spacing w:after="60" w:line="259" w:lineRule="auto"/>
        <w:ind w:left="360" w:hanging="259"/>
      </w:pPr>
      <w:r>
        <w:rPr>
          <w:rFonts w:ascii="Aptos" w:hAnsi="Aptos"/>
          <w:b w:val="0"/>
          <w:i w:val="0"/>
          <w:color w:val="172033"/>
          <w:sz w:val="19"/>
        </w:rPr>
        <w:t>Secure httpOnly, SameSite cookies; CSRF defense; session rotation on authentication and privilege change.</w:t>
      </w:r>
    </w:p>
    <w:p>
      <w:pPr>
        <w:pStyle w:val="ListBullet"/>
        <w:spacing w:after="60" w:line="259" w:lineRule="auto"/>
        <w:ind w:left="360" w:hanging="259"/>
      </w:pPr>
      <w:r>
        <w:rPr>
          <w:rFonts w:ascii="Aptos" w:hAnsi="Aptos"/>
          <w:b w:val="0"/>
          <w:i w:val="0"/>
          <w:color w:val="172033"/>
          <w:sz w:val="19"/>
        </w:rPr>
        <w:t>Wholesale approval records actor, timestamp, evidence reference, old/new state and reason.</w:t>
      </w:r>
    </w:p>
    <w:p>
      <w:pPr>
        <w:pStyle w:val="ListBullet"/>
        <w:spacing w:after="60" w:line="259" w:lineRule="auto"/>
        <w:ind w:left="360" w:hanging="259"/>
      </w:pPr>
      <w:r>
        <w:rPr>
          <w:rFonts w:ascii="Aptos" w:hAnsi="Aptos"/>
          <w:b w:val="0"/>
          <w:i w:val="0"/>
          <w:color w:val="172033"/>
          <w:sz w:val="19"/>
        </w:rPr>
        <w:t>Admin accounts require MFA; high-risk price, refund and permission actions require re-authentication.</w:t>
      </w:r>
    </w:p>
    <w:p>
      <w:pPr>
        <w:pStyle w:val="Heading2"/>
      </w:pPr>
      <w:r>
        <w:t>Catalog, search and pricing</w:t>
      </w:r>
    </w:p>
    <w:p>
      <w:pPr>
        <w:pStyle w:val="ListBullet"/>
        <w:spacing w:after="60" w:line="259" w:lineRule="auto"/>
        <w:ind w:left="360" w:hanging="259"/>
      </w:pPr>
      <w:r>
        <w:rPr>
          <w:rFonts w:ascii="Aptos" w:hAnsi="Aptos"/>
          <w:b w:val="0"/>
          <w:i w:val="0"/>
          <w:color w:val="172033"/>
          <w:sz w:val="19"/>
        </w:rPr>
        <w:t>Product supports variants and category-specific attributes; canonical model/SKU uniqueness constraints.</w:t>
      </w:r>
    </w:p>
    <w:p>
      <w:pPr>
        <w:pStyle w:val="ListBullet"/>
        <w:spacing w:after="60" w:line="259" w:lineRule="auto"/>
        <w:ind w:left="360" w:hanging="259"/>
      </w:pPr>
      <w:r>
        <w:rPr>
          <w:rFonts w:ascii="Aptos" w:hAnsi="Aptos"/>
          <w:b w:val="0"/>
          <w:i w:val="0"/>
          <w:color w:val="172033"/>
          <w:sz w:val="19"/>
        </w:rPr>
        <w:t>Search index document excludes nonpublic fields; protected wholesale index/price enrichment happens after authorization.</w:t>
      </w:r>
    </w:p>
    <w:p>
      <w:pPr>
        <w:pStyle w:val="ListBullet"/>
        <w:spacing w:after="60" w:line="259" w:lineRule="auto"/>
        <w:ind w:left="360" w:hanging="259"/>
      </w:pPr>
      <w:r>
        <w:rPr>
          <w:rFonts w:ascii="Aptos" w:hAnsi="Aptos"/>
          <w:b w:val="0"/>
          <w:i w:val="0"/>
          <w:color w:val="172033"/>
          <w:sz w:val="19"/>
        </w:rPr>
        <w:t>Facets are schema-driven with unit normalization; numeric facets store canonical units.</w:t>
      </w:r>
    </w:p>
    <w:p>
      <w:pPr>
        <w:pStyle w:val="ListBullet"/>
        <w:spacing w:after="60" w:line="259" w:lineRule="auto"/>
        <w:ind w:left="360" w:hanging="259"/>
      </w:pPr>
      <w:r>
        <w:rPr>
          <w:rFonts w:ascii="Aptos" w:hAnsi="Aptos"/>
          <w:b w:val="0"/>
          <w:i w:val="0"/>
          <w:color w:val="172033"/>
          <w:sz w:val="19"/>
        </w:rPr>
        <w:t>Price quote endpoint receives SKU/quantity/customer/location/coupon and returns signed calculation ID, line totals, taxes, discounts, expiry and explanations.</w:t>
      </w:r>
    </w:p>
    <w:p>
      <w:pPr>
        <w:pStyle w:val="ListBullet"/>
        <w:spacing w:after="60" w:line="259" w:lineRule="auto"/>
        <w:ind w:left="360" w:hanging="259"/>
      </w:pPr>
      <w:r>
        <w:rPr>
          <w:rFonts w:ascii="Aptos" w:hAnsi="Aptos"/>
          <w:b w:val="0"/>
          <w:i w:val="0"/>
          <w:color w:val="172033"/>
          <w:sz w:val="19"/>
        </w:rPr>
        <w:t>Checkout recalculates all totals and rejects stale calculation IDs with a recoverable refresh response.</w:t>
      </w:r>
    </w:p>
    <w:p>
      <w:pPr>
        <w:pStyle w:val="ListBullet"/>
        <w:spacing w:after="60" w:line="259" w:lineRule="auto"/>
        <w:ind w:left="360" w:hanging="259"/>
      </w:pPr>
      <w:r>
        <w:rPr>
          <w:rFonts w:ascii="Aptos" w:hAnsi="Aptos"/>
          <w:b w:val="0"/>
          <w:i w:val="0"/>
          <w:color w:val="172033"/>
          <w:sz w:val="19"/>
        </w:rPr>
        <w:t>Availability is location-aware and timestamped; “in stock” semantics are defined per fulfillment mode.</w:t>
      </w:r>
    </w:p>
    <w:p>
      <w:pPr>
        <w:pStyle w:val="Heading2"/>
      </w:pPr>
      <w:r>
        <w:t>Order and payment state</w:t>
      </w:r>
    </w:p>
    <w:p>
      <w:pPr>
        <w:spacing w:after="120" w:line="269" w:lineRule="auto"/>
      </w:pPr>
      <w:r>
        <w:rPr>
          <w:rFonts w:ascii="Aptos" w:hAnsi="Aptos"/>
          <w:b w:val="0"/>
          <w:i w:val="0"/>
          <w:color w:val="172033"/>
          <w:sz w:val="20"/>
        </w:rPr>
        <w:t>Order state: draft → pending_payment → paid/authorized → confirmed → allocated → dispatched/out_for_delivery → delivered, with cancelled/return_requested/returned/refunded branches. Payment state is separate: created → pending → authorized → captured → failed/expired → refunded/partially_refunded. State transitions are explicit, validated and audited.</w:t>
      </w:r>
    </w:p>
    <w:p>
      <w:pPr>
        <w:pStyle w:val="ListBullet"/>
        <w:spacing w:after="60" w:line="259" w:lineRule="auto"/>
        <w:ind w:left="360" w:hanging="259"/>
      </w:pPr>
      <w:r>
        <w:rPr>
          <w:rFonts w:ascii="Aptos" w:hAnsi="Aptos"/>
          <w:b w:val="0"/>
          <w:i w:val="0"/>
          <w:color w:val="172033"/>
          <w:sz w:val="19"/>
        </w:rPr>
        <w:t>Create idempotency key for checkout, order submission, payment creation and refund requests.</w:t>
      </w:r>
    </w:p>
    <w:p>
      <w:pPr>
        <w:pStyle w:val="ListBullet"/>
        <w:spacing w:after="60" w:line="259" w:lineRule="auto"/>
        <w:ind w:left="360" w:hanging="259"/>
      </w:pPr>
      <w:r>
        <w:rPr>
          <w:rFonts w:ascii="Aptos" w:hAnsi="Aptos"/>
          <w:b w:val="0"/>
          <w:i w:val="0"/>
          <w:color w:val="172033"/>
          <w:sz w:val="19"/>
        </w:rPr>
        <w:t>Payment links use high-entropy opaque IDs, server-side amount/order binding, configurable expiry, revocation and one-time/limited-use rules.</w:t>
      </w:r>
    </w:p>
    <w:p>
      <w:pPr>
        <w:pStyle w:val="ListBullet"/>
        <w:spacing w:after="60" w:line="259" w:lineRule="auto"/>
        <w:ind w:left="360" w:hanging="259"/>
      </w:pPr>
      <w:r>
        <w:rPr>
          <w:rFonts w:ascii="Aptos" w:hAnsi="Aptos"/>
          <w:b w:val="0"/>
          <w:i w:val="0"/>
          <w:color w:val="172033"/>
          <w:sz w:val="19"/>
        </w:rPr>
        <w:t>Webhooks require signature verification, timestamp tolerance, replay protection and durable event ledger.</w:t>
      </w:r>
    </w:p>
    <w:p>
      <w:pPr>
        <w:pStyle w:val="ListBullet"/>
        <w:spacing w:after="60" w:line="259" w:lineRule="auto"/>
        <w:ind w:left="360" w:hanging="259"/>
      </w:pPr>
      <w:r>
        <w:rPr>
          <w:rFonts w:ascii="Aptos" w:hAnsi="Aptos"/>
          <w:b w:val="0"/>
          <w:i w:val="0"/>
          <w:color w:val="172033"/>
          <w:sz w:val="19"/>
        </w:rPr>
        <w:t>Redirect success pages poll/read server payment state; they do not mark orders paid.</w:t>
      </w:r>
    </w:p>
    <w:p>
      <w:pPr>
        <w:pStyle w:val="ListBullet"/>
        <w:spacing w:after="60" w:line="259" w:lineRule="auto"/>
        <w:ind w:left="360" w:hanging="259"/>
      </w:pPr>
      <w:r>
        <w:rPr>
          <w:rFonts w:ascii="Aptos" w:hAnsi="Aptos"/>
          <w:b w:val="0"/>
          <w:i w:val="0"/>
          <w:color w:val="172033"/>
          <w:sz w:val="19"/>
        </w:rPr>
        <w:t>Store minimal payment metadata; never store raw PAN, CVV or UPI credentials.</w:t>
      </w:r>
    </w:p>
    <w:p>
      <w:r>
        <w:br w:type="page"/>
      </w:r>
    </w:p>
    <w:p>
      <w:pPr>
        <w:pStyle w:val="Heading1"/>
      </w:pPr>
      <w:r>
        <w:t>3. Data model</w:t>
      </w:r>
    </w:p>
    <w:p>
      <w:pPr>
        <w:pStyle w:val="Heading2"/>
      </w:pPr>
      <w:r>
        <w:t>Core entities</w:t>
      </w:r>
    </w:p>
    <w:tbl>
      <w:tblPr>
        <w:tblW w:type="auto" w:w="0"/>
        <w:jc w:val="center"/>
        <w:tblLayout w:type="fixed"/>
        <w:tblLook w:firstColumn="1" w:firstRow="1" w:lastColumn="0" w:lastRow="0" w:noHBand="0" w:noVBand="1" w:val="04A0"/>
      </w:tblPr>
      <w:tblGrid>
        <w:gridCol w:w="4824"/>
        <w:gridCol w:w="4824"/>
      </w:tblGrid>
      <w:tr>
        <w:tc>
          <w:tcPr>
            <w:tcW w:type="dxa" w:w="2232"/>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Entity</w:t>
            </w:r>
          </w:p>
        </w:tc>
        <w:tc>
          <w:tcPr>
            <w:tcW w:type="dxa" w:w="6984"/>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Key fields</w:t>
            </w:r>
          </w:p>
        </w:tc>
      </w:tr>
      <w:tr>
        <w:tc>
          <w:tcPr>
            <w:tcW w:type="dxa" w:w="223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User</w:t>
            </w:r>
          </w:p>
        </w:tc>
        <w:tc>
          <w:tcPr>
            <w:tcW w:type="dxa" w:w="698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id, mobile/email, status, locale, created_at</w:t>
            </w:r>
          </w:p>
        </w:tc>
      </w:tr>
      <w:tr>
        <w:tc>
          <w:tcPr>
            <w:tcW w:type="dxa" w:w="223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BusinessProfile</w:t>
            </w:r>
          </w:p>
        </w:tc>
        <w:tc>
          <w:tcPr>
            <w:tcW w:type="dxa" w:w="698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user_id, legal_name, GSTIN, addresses, verification_state, price_list_id</w:t>
            </w:r>
          </w:p>
        </w:tc>
      </w:tr>
      <w:tr>
        <w:tc>
          <w:tcPr>
            <w:tcW w:type="dxa" w:w="223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Product</w:t>
            </w:r>
          </w:p>
        </w:tc>
        <w:tc>
          <w:tcPr>
            <w:tcW w:type="dxa" w:w="698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id, slug, title, brand_id, category_id, status, tax_class</w:t>
            </w:r>
          </w:p>
        </w:tc>
      </w:tr>
      <w:tr>
        <w:tc>
          <w:tcPr>
            <w:tcW w:type="dxa" w:w="223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Variant</w:t>
            </w:r>
          </w:p>
        </w:tc>
        <w:tc>
          <w:tcPr>
            <w:tcW w:type="dxa" w:w="698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id, product_id, sku, model, option_values, dimensions, weight</w:t>
            </w:r>
          </w:p>
        </w:tc>
      </w:tr>
      <w:tr>
        <w:tc>
          <w:tcPr>
            <w:tcW w:type="dxa" w:w="223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MediaAsset</w:t>
            </w:r>
          </w:p>
        </w:tc>
        <w:tc>
          <w:tcPr>
            <w:tcW w:type="dxa" w:w="698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id, variant_id, type, url, poster_url, alt, rights_owner, license, focal_point</w:t>
            </w:r>
          </w:p>
        </w:tc>
      </w:tr>
      <w:tr>
        <w:tc>
          <w:tcPr>
            <w:tcW w:type="dxa" w:w="223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PriceList/Price</w:t>
            </w:r>
          </w:p>
        </w:tc>
        <w:tc>
          <w:tcPr>
            <w:tcW w:type="dxa" w:w="698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scope, variant_id, amount, currency, min_qty, starts_at, ends_at</w:t>
            </w:r>
          </w:p>
        </w:tc>
      </w:tr>
      <w:tr>
        <w:tc>
          <w:tcPr>
            <w:tcW w:type="dxa" w:w="223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Inventory</w:t>
            </w:r>
          </w:p>
        </w:tc>
        <w:tc>
          <w:tcPr>
            <w:tcW w:type="dxa" w:w="698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variant_id, location_id, on_hand, reserved, safety_stock, lead_time</w:t>
            </w:r>
          </w:p>
        </w:tc>
      </w:tr>
      <w:tr>
        <w:tc>
          <w:tcPr>
            <w:tcW w:type="dxa" w:w="223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Bookmark/List</w:t>
            </w:r>
          </w:p>
        </w:tc>
        <w:tc>
          <w:tcPr>
            <w:tcW w:type="dxa" w:w="698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owner/session, name, visibility; items, note, desired_qty</w:t>
            </w:r>
          </w:p>
        </w:tc>
      </w:tr>
      <w:tr>
        <w:tc>
          <w:tcPr>
            <w:tcW w:type="dxa" w:w="223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Cart</w:t>
            </w:r>
          </w:p>
        </w:tc>
        <w:tc>
          <w:tcPr>
            <w:tcW w:type="dxa" w:w="698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owner/session, mode, currency, expires_at; lines, calculation_id</w:t>
            </w:r>
          </w:p>
        </w:tc>
      </w:tr>
      <w:tr>
        <w:tc>
          <w:tcPr>
            <w:tcW w:type="dxa" w:w="223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Quote</w:t>
            </w:r>
          </w:p>
        </w:tc>
        <w:tc>
          <w:tcPr>
            <w:tcW w:type="dxa" w:w="698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business_id, version, lines, totals, expiry, approval_state</w:t>
            </w:r>
          </w:p>
        </w:tc>
      </w:tr>
      <w:tr>
        <w:tc>
          <w:tcPr>
            <w:tcW w:type="dxa" w:w="223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Order</w:t>
            </w:r>
          </w:p>
        </w:tc>
        <w:tc>
          <w:tcPr>
            <w:tcW w:type="dxa" w:w="698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customer/business, addresses, totals, state, calculation snapshot</w:t>
            </w:r>
          </w:p>
        </w:tc>
      </w:tr>
      <w:tr>
        <w:tc>
          <w:tcPr>
            <w:tcW w:type="dxa" w:w="223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Payment</w:t>
            </w:r>
          </w:p>
        </w:tc>
        <w:tc>
          <w:tcPr>
            <w:tcW w:type="dxa" w:w="698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order_id, provider_ref, state, amount, method; webhook events</w:t>
            </w:r>
          </w:p>
        </w:tc>
      </w:tr>
      <w:tr>
        <w:tc>
          <w:tcPr>
            <w:tcW w:type="dxa" w:w="223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ShareLink</w:t>
            </w:r>
          </w:p>
        </w:tc>
        <w:tc>
          <w:tcPr>
            <w:tcW w:type="dxa" w:w="698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token_hash, creator, scope, filter_json, expires_at, revoked_at</w:t>
            </w:r>
          </w:p>
        </w:tc>
      </w:tr>
      <w:tr>
        <w:tc>
          <w:tcPr>
            <w:tcW w:type="dxa" w:w="223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BotConversation</w:t>
            </w:r>
          </w:p>
        </w:tc>
        <w:tc>
          <w:tcPr>
            <w:tcW w:type="dxa" w:w="698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user/session, consent, messages, citations, tool traces, retention_until</w:t>
            </w:r>
          </w:p>
        </w:tc>
      </w:tr>
    </w:tbl>
    <w:p>
      <w:pPr>
        <w:spacing w:after="20"/>
      </w:pPr>
    </w:p>
    <w:p>
      <w:pPr>
        <w:pStyle w:val="Heading2"/>
      </w:pPr>
      <w:r>
        <w:t>Seed data contract</w:t>
      </w:r>
    </w:p>
    <w:p>
      <w:pPr>
        <w:spacing w:after="120" w:line="269" w:lineRule="auto"/>
      </w:pPr>
      <w:r>
        <w:rPr>
          <w:rFonts w:ascii="Aptos" w:hAnsi="Aptos"/>
          <w:b w:val="0"/>
          <w:i w:val="0"/>
          <w:color w:val="172033"/>
          <w:sz w:val="20"/>
        </w:rPr>
        <w:t>The companion CSV is suitable for ingestion after mapping. Production import must validate category, numeric price, stock, slug/SKU uniqueness, image rights, alt text and controlled animation treatment. Dummy images use descriptive placeholders, not third-party copyrighted binaries.</w:t>
      </w:r>
    </w:p>
    <w:p>
      <w:pPr>
        <w:pStyle w:val="Heading2"/>
      </w:pPr>
      <w:r>
        <w:t>Retention and privacy</w:t>
      </w:r>
    </w:p>
    <w:p>
      <w:pPr>
        <w:pStyle w:val="ListBullet"/>
        <w:spacing w:after="60" w:line="259" w:lineRule="auto"/>
        <w:ind w:left="360" w:hanging="259"/>
      </w:pPr>
      <w:r>
        <w:rPr>
          <w:rFonts w:ascii="Aptos" w:hAnsi="Aptos"/>
          <w:b w:val="0"/>
          <w:i w:val="0"/>
          <w:color w:val="172033"/>
          <w:sz w:val="19"/>
        </w:rPr>
        <w:t>Collect only data required for commerce, support, fraud prevention and legal obligations.</w:t>
      </w:r>
    </w:p>
    <w:p>
      <w:pPr>
        <w:pStyle w:val="ListBullet"/>
        <w:spacing w:after="60" w:line="259" w:lineRule="auto"/>
        <w:ind w:left="360" w:hanging="259"/>
      </w:pPr>
      <w:r>
        <w:rPr>
          <w:rFonts w:ascii="Aptos" w:hAnsi="Aptos"/>
          <w:b w:val="0"/>
          <w:i w:val="0"/>
          <w:color w:val="172033"/>
          <w:sz w:val="19"/>
        </w:rPr>
        <w:t>Define retention by record type; isolate legal invoice retention from disposable bot/chat telemetry.</w:t>
      </w:r>
    </w:p>
    <w:p>
      <w:pPr>
        <w:pStyle w:val="ListBullet"/>
        <w:spacing w:after="60" w:line="259" w:lineRule="auto"/>
        <w:ind w:left="360" w:hanging="259"/>
      </w:pPr>
      <w:r>
        <w:rPr>
          <w:rFonts w:ascii="Aptos" w:hAnsi="Aptos"/>
          <w:b w:val="0"/>
          <w:i w:val="0"/>
          <w:color w:val="172033"/>
          <w:sz w:val="19"/>
        </w:rPr>
        <w:t>Export/delete workflow covers profile, bookmarks and conversations subject to lawful retention.</w:t>
      </w:r>
    </w:p>
    <w:p>
      <w:pPr>
        <w:pStyle w:val="ListBullet"/>
        <w:spacing w:after="60" w:line="259" w:lineRule="auto"/>
        <w:ind w:left="360" w:hanging="259"/>
      </w:pPr>
      <w:r>
        <w:rPr>
          <w:rFonts w:ascii="Aptos" w:hAnsi="Aptos"/>
          <w:b w:val="0"/>
          <w:i w:val="0"/>
          <w:color w:val="172033"/>
          <w:sz w:val="19"/>
        </w:rPr>
        <w:t>Analytics uses pseudonymous IDs; advertising/optional analytics waits for consent.</w:t>
      </w:r>
    </w:p>
    <w:p>
      <w:pPr>
        <w:pStyle w:val="ListBullet"/>
        <w:spacing w:after="60" w:line="259" w:lineRule="auto"/>
        <w:ind w:left="360" w:hanging="259"/>
      </w:pPr>
      <w:r>
        <w:rPr>
          <w:rFonts w:ascii="Aptos" w:hAnsi="Aptos"/>
          <w:b w:val="0"/>
          <w:i w:val="0"/>
          <w:color w:val="172033"/>
          <w:sz w:val="19"/>
        </w:rPr>
        <w:t>Secrets and sensitive identifiers are encrypted at rest; logs redact OTP, tokens, addresses and payment payloads.</w:t>
      </w:r>
    </w:p>
    <w:p>
      <w:r>
        <w:br w:type="page"/>
      </w:r>
    </w:p>
    <w:p>
      <w:pPr>
        <w:pStyle w:val="Heading1"/>
      </w:pPr>
      <w:r>
        <w:t>4. API and integration requirements</w:t>
      </w:r>
    </w:p>
    <w:p>
      <w:pPr>
        <w:pStyle w:val="Heading2"/>
      </w:pPr>
      <w:r>
        <w:t>Representative endpoints</w:t>
      </w:r>
    </w:p>
    <w:tbl>
      <w:tblPr>
        <w:tblW w:type="auto" w:w="0"/>
        <w:jc w:val="center"/>
        <w:tblLayout w:type="fixed"/>
        <w:tblLook w:firstColumn="1" w:firstRow="1" w:lastColumn="0" w:lastRow="0" w:noHBand="0" w:noVBand="1" w:val="04A0"/>
      </w:tblPr>
      <w:tblGrid>
        <w:gridCol w:w="3216"/>
        <w:gridCol w:w="3216"/>
        <w:gridCol w:w="3216"/>
      </w:tblGrid>
      <w:tr>
        <w:tc>
          <w:tcPr>
            <w:tcW w:type="dxa" w:w="3240"/>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Method / path</w:t>
            </w:r>
          </w:p>
        </w:tc>
        <w:tc>
          <w:tcPr>
            <w:tcW w:type="dxa" w:w="3384"/>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Purpose</w:t>
            </w:r>
          </w:p>
        </w:tc>
        <w:tc>
          <w:tcPr>
            <w:tcW w:type="dxa" w:w="2592"/>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Controls</w:t>
            </w:r>
          </w:p>
        </w:tc>
      </w:tr>
      <w:tr>
        <w:tc>
          <w:tcPr>
            <w:tcW w:type="dxa" w:w="324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GET /api/catalog/products</w:t>
            </w:r>
          </w:p>
        </w:tc>
        <w:tc>
          <w:tcPr>
            <w:tcW w:type="dxa" w:w="338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Search/browse with facets and cursor</w:t>
            </w:r>
          </w:p>
        </w:tc>
        <w:tc>
          <w:tcPr>
            <w:tcW w:type="dxa" w:w="259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Public fields; cache; abuse limit</w:t>
            </w:r>
          </w:p>
        </w:tc>
      </w:tr>
      <w:tr>
        <w:tc>
          <w:tcPr>
            <w:tcW w:type="dxa" w:w="324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GET /api/catalog/products/:slug</w:t>
            </w:r>
          </w:p>
        </w:tc>
        <w:tc>
          <w:tcPr>
            <w:tcW w:type="dxa" w:w="338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PDP data and authorized price enrichment</w:t>
            </w:r>
          </w:p>
        </w:tc>
        <w:tc>
          <w:tcPr>
            <w:tcW w:type="dxa" w:w="259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Field-level authorization</w:t>
            </w:r>
          </w:p>
        </w:tc>
      </w:tr>
      <w:tr>
        <w:tc>
          <w:tcPr>
            <w:tcW w:type="dxa" w:w="324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POST /api/auth/otp/*</w:t>
            </w:r>
          </w:p>
        </w:tc>
        <w:tc>
          <w:tcPr>
            <w:tcW w:type="dxa" w:w="338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Request/verify OTP</w:t>
            </w:r>
          </w:p>
        </w:tc>
        <w:tc>
          <w:tcPr>
            <w:tcW w:type="dxa" w:w="259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Rate limit; hashed code; risk checks</w:t>
            </w:r>
          </w:p>
        </w:tc>
      </w:tr>
      <w:tr>
        <w:tc>
          <w:tcPr>
            <w:tcW w:type="dxa" w:w="324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POST /api/pricing/quote</w:t>
            </w:r>
          </w:p>
        </w:tc>
        <w:tc>
          <w:tcPr>
            <w:tcW w:type="dxa" w:w="338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Authoritative totals for quantities/context</w:t>
            </w:r>
          </w:p>
        </w:tc>
        <w:tc>
          <w:tcPr>
            <w:tcW w:type="dxa" w:w="259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Auth where needed; signed result</w:t>
            </w:r>
          </w:p>
        </w:tc>
      </w:tr>
      <w:tr>
        <w:tc>
          <w:tcPr>
            <w:tcW w:type="dxa" w:w="324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POST /api/carts</w:t>
            </w:r>
          </w:p>
        </w:tc>
        <w:tc>
          <w:tcPr>
            <w:tcW w:type="dxa" w:w="338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Create/recover guest or user cart</w:t>
            </w:r>
          </w:p>
        </w:tc>
        <w:tc>
          <w:tcPr>
            <w:tcW w:type="dxa" w:w="259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Signed session; idempotent merge</w:t>
            </w:r>
          </w:p>
        </w:tc>
      </w:tr>
      <w:tr>
        <w:tc>
          <w:tcPr>
            <w:tcW w:type="dxa" w:w="324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POST /api/checkout/orders</w:t>
            </w:r>
          </w:p>
        </w:tc>
        <w:tc>
          <w:tcPr>
            <w:tcW w:type="dxa" w:w="338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Create order from current calculation</w:t>
            </w:r>
          </w:p>
        </w:tc>
        <w:tc>
          <w:tcPr>
            <w:tcW w:type="dxa" w:w="259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Idempotency; server reprice</w:t>
            </w:r>
          </w:p>
        </w:tc>
      </w:tr>
      <w:tr>
        <w:tc>
          <w:tcPr>
            <w:tcW w:type="dxa" w:w="324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POST /api/payments/links</w:t>
            </w:r>
          </w:p>
        </w:tc>
        <w:tc>
          <w:tcPr>
            <w:tcW w:type="dxa" w:w="338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Create time-bound payment link</w:t>
            </w:r>
          </w:p>
        </w:tc>
        <w:tc>
          <w:tcPr>
            <w:tcW w:type="dxa" w:w="259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Authorized order owner/operator</w:t>
            </w:r>
          </w:p>
        </w:tc>
      </w:tr>
      <w:tr>
        <w:tc>
          <w:tcPr>
            <w:tcW w:type="dxa" w:w="324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POST /api/webhooks/payments/:provider</w:t>
            </w:r>
          </w:p>
        </w:tc>
        <w:tc>
          <w:tcPr>
            <w:tcW w:type="dxa" w:w="338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Receive payment event</w:t>
            </w:r>
          </w:p>
        </w:tc>
        <w:tc>
          <w:tcPr>
            <w:tcW w:type="dxa" w:w="259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Signature, replay guard, ledger</w:t>
            </w:r>
          </w:p>
        </w:tc>
      </w:tr>
      <w:tr>
        <w:tc>
          <w:tcPr>
            <w:tcW w:type="dxa" w:w="324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POST /api/share-links</w:t>
            </w:r>
          </w:p>
        </w:tc>
        <w:tc>
          <w:tcPr>
            <w:tcW w:type="dxa" w:w="338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Create scoped inventory/list URL</w:t>
            </w:r>
          </w:p>
        </w:tc>
        <w:tc>
          <w:tcPr>
            <w:tcW w:type="dxa" w:w="259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Scope policy; expiry; audit</w:t>
            </w:r>
          </w:p>
        </w:tc>
      </w:tr>
      <w:tr>
        <w:tc>
          <w:tcPr>
            <w:tcW w:type="dxa" w:w="324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POST /api/bot/messages</w:t>
            </w:r>
          </w:p>
        </w:tc>
        <w:tc>
          <w:tcPr>
            <w:tcW w:type="dxa" w:w="338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Grounded answer or approved tool proposal</w:t>
            </w:r>
          </w:p>
        </w:tc>
        <w:tc>
          <w:tcPr>
            <w:tcW w:type="dxa" w:w="259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Auth context; redaction; quotas</w:t>
            </w:r>
          </w:p>
        </w:tc>
      </w:tr>
    </w:tbl>
    <w:p>
      <w:pPr>
        <w:spacing w:after="20"/>
      </w:pPr>
    </w:p>
    <w:p>
      <w:pPr>
        <w:pStyle w:val="Heading2"/>
      </w:pPr>
      <w:r>
        <w:t>Contract standards</w:t>
      </w:r>
    </w:p>
    <w:p>
      <w:pPr>
        <w:pStyle w:val="ListBullet"/>
        <w:spacing w:after="60" w:line="259" w:lineRule="auto"/>
        <w:ind w:left="360" w:hanging="259"/>
      </w:pPr>
      <w:r>
        <w:rPr>
          <w:rFonts w:ascii="Aptos" w:hAnsi="Aptos"/>
          <w:b w:val="0"/>
          <w:i w:val="0"/>
          <w:color w:val="172033"/>
          <w:sz w:val="19"/>
        </w:rPr>
        <w:t>Versioned OpenAPI contract; generated types; consistent error envelope with user-safe message and trace ID.</w:t>
      </w:r>
    </w:p>
    <w:p>
      <w:pPr>
        <w:pStyle w:val="ListBullet"/>
        <w:spacing w:after="60" w:line="259" w:lineRule="auto"/>
        <w:ind w:left="360" w:hanging="259"/>
      </w:pPr>
      <w:r>
        <w:rPr>
          <w:rFonts w:ascii="Aptos" w:hAnsi="Aptos"/>
          <w:b w:val="0"/>
          <w:i w:val="0"/>
          <w:color w:val="172033"/>
          <w:sz w:val="19"/>
        </w:rPr>
        <w:t>Cursor pagination for catalog and operational lists; stable sort keys.</w:t>
      </w:r>
    </w:p>
    <w:p>
      <w:pPr>
        <w:pStyle w:val="ListBullet"/>
        <w:spacing w:after="60" w:line="259" w:lineRule="auto"/>
        <w:ind w:left="360" w:hanging="259"/>
      </w:pPr>
      <w:r>
        <w:rPr>
          <w:rFonts w:ascii="Aptos" w:hAnsi="Aptos"/>
          <w:b w:val="0"/>
          <w:i w:val="0"/>
          <w:color w:val="172033"/>
          <w:sz w:val="19"/>
        </w:rPr>
        <w:t>ISO 8601 UTC timestamps; INR stored as integer paise; normalized units with display conversion.</w:t>
      </w:r>
    </w:p>
    <w:p>
      <w:pPr>
        <w:pStyle w:val="ListBullet"/>
        <w:spacing w:after="60" w:line="259" w:lineRule="auto"/>
        <w:ind w:left="360" w:hanging="259"/>
      </w:pPr>
      <w:r>
        <w:rPr>
          <w:rFonts w:ascii="Aptos" w:hAnsi="Aptos"/>
          <w:b w:val="0"/>
          <w:i w:val="0"/>
          <w:color w:val="172033"/>
          <w:sz w:val="19"/>
        </w:rPr>
        <w:t>Correlation ID across browser, API, queue and integration; no sensitive data in IDs.</w:t>
      </w:r>
    </w:p>
    <w:p>
      <w:pPr>
        <w:pStyle w:val="ListBullet"/>
        <w:spacing w:after="60" w:line="259" w:lineRule="auto"/>
        <w:ind w:left="360" w:hanging="259"/>
      </w:pPr>
      <w:r>
        <w:rPr>
          <w:rFonts w:ascii="Aptos" w:hAnsi="Aptos"/>
          <w:b w:val="0"/>
          <w:i w:val="0"/>
          <w:color w:val="172033"/>
          <w:sz w:val="19"/>
        </w:rPr>
        <w:t>Timeout, retry and circuit-breaker policies per adapter; only retry idempotent operations automatically.</w:t>
      </w:r>
    </w:p>
    <w:p>
      <w:pPr>
        <w:pStyle w:val="Heading2"/>
      </w:pPr>
      <w:r>
        <w:t>Future integrations</w:t>
      </w:r>
    </w:p>
    <w:p>
      <w:pPr>
        <w:spacing w:after="120" w:line="269" w:lineRule="auto"/>
      </w:pPr>
      <w:r>
        <w:rPr>
          <w:rFonts w:ascii="Aptos" w:hAnsi="Aptos"/>
          <w:b w:val="0"/>
          <w:i w:val="0"/>
          <w:color w:val="172033"/>
          <w:sz w:val="20"/>
        </w:rPr>
        <w:t>Define adapters before selecting vendors: InventorySource, PriceSource, PaymentProvider, NotificationProvider, ShippingProvider, InstallationProvider, TaxInvoiceProvider and ProductMediaProvider. The POC ships fake/sandbox implementations behind the same interfaces.</w:t>
      </w:r>
    </w:p>
    <w:p>
      <w:r>
        <w:br w:type="page"/>
      </w:r>
    </w:p>
    <w:p>
      <w:pPr>
        <w:pStyle w:val="Heading1"/>
      </w:pPr>
      <w:r>
        <w:t>5. Frontend and design-system requirements</w:t>
      </w:r>
    </w:p>
    <w:p>
      <w:pPr>
        <w:pStyle w:val="Heading2"/>
      </w:pPr>
      <w:r>
        <w:t>Responsive baseline</w:t>
      </w:r>
    </w:p>
    <w:p>
      <w:pPr>
        <w:pStyle w:val="ListBullet"/>
        <w:spacing w:after="60" w:line="259" w:lineRule="auto"/>
        <w:ind w:left="360" w:hanging="259"/>
      </w:pPr>
      <w:r>
        <w:rPr>
          <w:rFonts w:ascii="Aptos" w:hAnsi="Aptos"/>
          <w:b w:val="0"/>
          <w:i w:val="0"/>
          <w:color w:val="172033"/>
          <w:sz w:val="19"/>
        </w:rPr>
        <w:t>Mobile-first CSS; content breakpoints driven by layout rather than named devices. Validate at 360, 390, 768, 1024, 1280 and 1440 px.</w:t>
      </w:r>
    </w:p>
    <w:p>
      <w:pPr>
        <w:pStyle w:val="ListBullet"/>
        <w:spacing w:after="60" w:line="259" w:lineRule="auto"/>
        <w:ind w:left="360" w:hanging="259"/>
      </w:pPr>
      <w:r>
        <w:rPr>
          <w:rFonts w:ascii="Aptos" w:hAnsi="Aptos"/>
          <w:b w:val="0"/>
          <w:i w:val="0"/>
          <w:color w:val="172033"/>
          <w:sz w:val="19"/>
        </w:rPr>
        <w:t>Server-render catalog/category/PDP content for SEO and fast first paint; hydrate interactive islands selectively.</w:t>
      </w:r>
    </w:p>
    <w:p>
      <w:pPr>
        <w:pStyle w:val="ListBullet"/>
        <w:spacing w:after="60" w:line="259" w:lineRule="auto"/>
        <w:ind w:left="360" w:hanging="259"/>
      </w:pPr>
      <w:r>
        <w:rPr>
          <w:rFonts w:ascii="Aptos" w:hAnsi="Aptos"/>
          <w:b w:val="0"/>
          <w:i w:val="0"/>
          <w:color w:val="172033"/>
          <w:sz w:val="19"/>
        </w:rPr>
        <w:t>Shared tokens: color, type, spacing, radius, elevation, blur, motion duration/easing, z-index and container widths.</w:t>
      </w:r>
    </w:p>
    <w:p>
      <w:pPr>
        <w:pStyle w:val="ListBullet"/>
        <w:spacing w:after="60" w:line="259" w:lineRule="auto"/>
        <w:ind w:left="360" w:hanging="259"/>
      </w:pPr>
      <w:r>
        <w:rPr>
          <w:rFonts w:ascii="Aptos" w:hAnsi="Aptos"/>
          <w:b w:val="0"/>
          <w:i w:val="0"/>
          <w:color w:val="172033"/>
          <w:sz w:val="19"/>
        </w:rPr>
        <w:t>Components cover navigation, mode switch, search, cards, price, quantity, tier table, badges, filters, compare tray, bookmark, cart, checkout, payment link, bot and QR.</w:t>
      </w:r>
    </w:p>
    <w:p>
      <w:pPr>
        <w:pStyle w:val="ListBullet"/>
        <w:spacing w:after="60" w:line="259" w:lineRule="auto"/>
        <w:ind w:left="360" w:hanging="259"/>
      </w:pPr>
      <w:r>
        <w:rPr>
          <w:rFonts w:ascii="Aptos" w:hAnsi="Aptos"/>
          <w:b w:val="0"/>
          <w:i w:val="0"/>
          <w:color w:val="172033"/>
          <w:sz w:val="19"/>
        </w:rPr>
        <w:t>Every component has loading, empty, error, disabled, focus, hover, active and reduced-motion states.</w:t>
      </w:r>
    </w:p>
    <w:p>
      <w:pPr>
        <w:pStyle w:val="Heading2"/>
      </w:pPr>
      <w:r>
        <w:t>Glass and 3D implementation</w:t>
      </w:r>
    </w:p>
    <w:p>
      <w:pPr>
        <w:pStyle w:val="ListBullet"/>
        <w:spacing w:after="60" w:line="259" w:lineRule="auto"/>
        <w:ind w:left="360" w:hanging="259"/>
      </w:pPr>
      <w:r>
        <w:rPr>
          <w:rFonts w:ascii="Aptos" w:hAnsi="Aptos"/>
          <w:b w:val="0"/>
          <w:i w:val="0"/>
          <w:color w:val="172033"/>
          <w:sz w:val="19"/>
        </w:rPr>
        <w:t>Glass token includes translucent fill, border, shadow and backdrop blur; supports-color/blur fallback is opaque.</w:t>
      </w:r>
    </w:p>
    <w:p>
      <w:pPr>
        <w:pStyle w:val="ListBullet"/>
        <w:spacing w:after="60" w:line="259" w:lineRule="auto"/>
        <w:ind w:left="360" w:hanging="259"/>
      </w:pPr>
      <w:r>
        <w:rPr>
          <w:rFonts w:ascii="Aptos" w:hAnsi="Aptos"/>
          <w:b w:val="0"/>
          <w:i w:val="0"/>
          <w:color w:val="172033"/>
          <w:sz w:val="19"/>
        </w:rPr>
        <w:t>Never place low-contrast text directly over changing imagery; add stable scrim or opaque panel.</w:t>
      </w:r>
    </w:p>
    <w:p>
      <w:pPr>
        <w:pStyle w:val="ListBullet"/>
        <w:spacing w:after="60" w:line="259" w:lineRule="auto"/>
        <w:ind w:left="360" w:hanging="259"/>
      </w:pPr>
      <w:r>
        <w:rPr>
          <w:rFonts w:ascii="Aptos" w:hAnsi="Aptos"/>
          <w:b w:val="0"/>
          <w:i w:val="0"/>
          <w:color w:val="172033"/>
          <w:sz w:val="19"/>
        </w:rPr>
        <w:t>3D assets: glTF/GLB, compressed geometry/textures, ≤2 MB initial poster+essential payload target, lazy-loaded viewer chunks.</w:t>
      </w:r>
    </w:p>
    <w:p>
      <w:pPr>
        <w:pStyle w:val="ListBullet"/>
        <w:spacing w:after="60" w:line="259" w:lineRule="auto"/>
        <w:ind w:left="360" w:hanging="259"/>
      </w:pPr>
      <w:r>
        <w:rPr>
          <w:rFonts w:ascii="Aptos" w:hAnsi="Aptos"/>
          <w:b w:val="0"/>
          <w:i w:val="0"/>
          <w:color w:val="172033"/>
          <w:sz w:val="19"/>
        </w:rPr>
        <w:t>Viewer dynamically caps pixel ratio; pauses render loop when idle/offscreen; disposes GPU resources on unmount.</w:t>
      </w:r>
    </w:p>
    <w:p>
      <w:pPr>
        <w:pStyle w:val="ListBullet"/>
        <w:spacing w:after="60" w:line="259" w:lineRule="auto"/>
        <w:ind w:left="360" w:hanging="259"/>
      </w:pPr>
      <w:r>
        <w:rPr>
          <w:rFonts w:ascii="Aptos" w:hAnsi="Aptos"/>
          <w:b w:val="0"/>
          <w:i w:val="0"/>
          <w:color w:val="172033"/>
          <w:sz w:val="19"/>
        </w:rPr>
        <w:t>A static image and complete textual specifications are mandatory fallbacks.</w:t>
      </w:r>
    </w:p>
    <w:p>
      <w:pPr>
        <w:pStyle w:val="Heading2"/>
      </w:pPr>
      <w:r>
        <w:t>SEO and discoverability</w:t>
      </w:r>
    </w:p>
    <w:p>
      <w:pPr>
        <w:pStyle w:val="ListBullet"/>
        <w:spacing w:after="60" w:line="259" w:lineRule="auto"/>
        <w:ind w:left="360" w:hanging="259"/>
      </w:pPr>
      <w:r>
        <w:rPr>
          <w:rFonts w:ascii="Aptos" w:hAnsi="Aptos"/>
          <w:b w:val="0"/>
          <w:i w:val="0"/>
          <w:color w:val="172033"/>
          <w:sz w:val="19"/>
        </w:rPr>
        <w:t>Unique titles/descriptions, canonical URLs, clean slugs, XML sitemap partitioned by type, robots controls.</w:t>
      </w:r>
    </w:p>
    <w:p>
      <w:pPr>
        <w:pStyle w:val="ListBullet"/>
        <w:spacing w:after="60" w:line="259" w:lineRule="auto"/>
        <w:ind w:left="360" w:hanging="259"/>
      </w:pPr>
      <w:r>
        <w:rPr>
          <w:rFonts w:ascii="Aptos" w:hAnsi="Aptos"/>
          <w:b w:val="0"/>
          <w:i w:val="0"/>
          <w:color w:val="172033"/>
          <w:sz w:val="19"/>
        </w:rPr>
        <w:t>Product structured data only when price/availability/review data is truthful and current.</w:t>
      </w:r>
    </w:p>
    <w:p>
      <w:pPr>
        <w:pStyle w:val="ListBullet"/>
        <w:spacing w:after="60" w:line="259" w:lineRule="auto"/>
        <w:ind w:left="360" w:hanging="259"/>
      </w:pPr>
      <w:r>
        <w:rPr>
          <w:rFonts w:ascii="Aptos" w:hAnsi="Aptos"/>
          <w:b w:val="0"/>
          <w:i w:val="0"/>
          <w:color w:val="172033"/>
          <w:sz w:val="19"/>
        </w:rPr>
        <w:t>Category content supports Pune intent naturally; no doorway pages or locality keyword stuffing.</w:t>
      </w:r>
    </w:p>
    <w:p>
      <w:pPr>
        <w:pStyle w:val="ListBullet"/>
        <w:spacing w:after="60" w:line="259" w:lineRule="auto"/>
        <w:ind w:left="360" w:hanging="259"/>
      </w:pPr>
      <w:r>
        <w:rPr>
          <w:rFonts w:ascii="Aptos" w:hAnsi="Aptos"/>
          <w:b w:val="0"/>
          <w:i w:val="0"/>
          <w:color w:val="172033"/>
          <w:sz w:val="19"/>
        </w:rPr>
        <w:t>Share pages emit safe Open Graph metadata; protected wholesale content is noindex and access-controlled.</w:t>
      </w:r>
    </w:p>
    <w:p>
      <w:r>
        <w:br w:type="page"/>
      </w:r>
    </w:p>
    <w:p>
      <w:pPr>
        <w:pStyle w:val="Heading1"/>
      </w:pPr>
      <w:r>
        <w:t>6. Non-functional requirements</w:t>
      </w:r>
    </w:p>
    <w:p>
      <w:pPr>
        <w:pStyle w:val="Heading2"/>
      </w:pPr>
      <w:r>
        <w:t>Performance budgets</w:t>
      </w:r>
    </w:p>
    <w:tbl>
      <w:tblPr>
        <w:tblW w:type="auto" w:w="0"/>
        <w:jc w:val="center"/>
        <w:tblLayout w:type="fixed"/>
        <w:tblLook w:firstColumn="1" w:firstRow="1" w:lastColumn="0" w:lastRow="0" w:noHBand="0" w:noVBand="1" w:val="04A0"/>
      </w:tblPr>
      <w:tblGrid>
        <w:gridCol w:w="3216"/>
        <w:gridCol w:w="3216"/>
        <w:gridCol w:w="3216"/>
      </w:tblGrid>
      <w:tr>
        <w:tc>
          <w:tcPr>
            <w:tcW w:type="dxa" w:w="2232"/>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Metric / asset</w:t>
            </w:r>
          </w:p>
        </w:tc>
        <w:tc>
          <w:tcPr>
            <w:tcW w:type="dxa" w:w="3096"/>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Target</w:t>
            </w:r>
          </w:p>
        </w:tc>
        <w:tc>
          <w:tcPr>
            <w:tcW w:type="dxa" w:w="3888"/>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Test condition</w:t>
            </w:r>
          </w:p>
        </w:tc>
      </w:tr>
      <w:tr>
        <w:tc>
          <w:tcPr>
            <w:tcW w:type="dxa" w:w="223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LCP</w:t>
            </w:r>
          </w:p>
        </w:tc>
        <w:tc>
          <w:tcPr>
            <w:tcW w:type="dxa" w:w="309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≤2.5 s p75</w:t>
            </w:r>
          </w:p>
        </w:tc>
        <w:tc>
          <w:tcPr>
            <w:tcW w:type="dxa" w:w="388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Mid-tier mobile, representative 4G, production build</w:t>
            </w:r>
          </w:p>
        </w:tc>
      </w:tr>
      <w:tr>
        <w:tc>
          <w:tcPr>
            <w:tcW w:type="dxa" w:w="223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INP</w:t>
            </w:r>
          </w:p>
        </w:tc>
        <w:tc>
          <w:tcPr>
            <w:tcW w:type="dxa" w:w="309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≤200 ms p75</w:t>
            </w:r>
          </w:p>
        </w:tc>
        <w:tc>
          <w:tcPr>
            <w:tcW w:type="dxa" w:w="388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Real-user monitoring</w:t>
            </w:r>
          </w:p>
        </w:tc>
      </w:tr>
      <w:tr>
        <w:tc>
          <w:tcPr>
            <w:tcW w:type="dxa" w:w="223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CLS</w:t>
            </w:r>
          </w:p>
        </w:tc>
        <w:tc>
          <w:tcPr>
            <w:tcW w:type="dxa" w:w="309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≤0.10 p75</w:t>
            </w:r>
          </w:p>
        </w:tc>
        <w:tc>
          <w:tcPr>
            <w:tcW w:type="dxa" w:w="388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Fonts/media dimensions reserved</w:t>
            </w:r>
          </w:p>
        </w:tc>
      </w:tr>
      <w:tr>
        <w:tc>
          <w:tcPr>
            <w:tcW w:type="dxa" w:w="223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Initial JS</w:t>
            </w:r>
          </w:p>
        </w:tc>
        <w:tc>
          <w:tcPr>
            <w:tcW w:type="dxa" w:w="309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≤200 KB gzip route baseline</w:t>
            </w:r>
          </w:p>
        </w:tc>
        <w:tc>
          <w:tcPr>
            <w:tcW w:type="dxa" w:w="388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Exclude lazy 3D/bot chunks</w:t>
            </w:r>
          </w:p>
        </w:tc>
      </w:tr>
      <w:tr>
        <w:tc>
          <w:tcPr>
            <w:tcW w:type="dxa" w:w="223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Critical image</w:t>
            </w:r>
          </w:p>
        </w:tc>
        <w:tc>
          <w:tcPr>
            <w:tcW w:type="dxa" w:w="309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Responsive AVIF/WebP; ≤200 KB typical</w:t>
            </w:r>
          </w:p>
        </w:tc>
        <w:tc>
          <w:tcPr>
            <w:tcW w:type="dxa" w:w="388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Correct intrinsic dimensions and priority</w:t>
            </w:r>
          </w:p>
        </w:tc>
      </w:tr>
      <w:tr>
        <w:tc>
          <w:tcPr>
            <w:tcW w:type="dxa" w:w="223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3D payload</w:t>
            </w:r>
          </w:p>
        </w:tc>
        <w:tc>
          <w:tcPr>
            <w:tcW w:type="dxa" w:w="309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Poster first; viewer lazy; ≤5 MB per featured model goal</w:t>
            </w:r>
          </w:p>
        </w:tc>
        <w:tc>
          <w:tcPr>
            <w:tcW w:type="dxa" w:w="388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Capability-gated and cached</w:t>
            </w:r>
          </w:p>
        </w:tc>
      </w:tr>
      <w:tr>
        <w:tc>
          <w:tcPr>
            <w:tcW w:type="dxa" w:w="223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API browse p95</w:t>
            </w:r>
          </w:p>
        </w:tc>
        <w:tc>
          <w:tcPr>
            <w:tcW w:type="dxa" w:w="309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≤400 ms from application edge</w:t>
            </w:r>
          </w:p>
        </w:tc>
        <w:tc>
          <w:tcPr>
            <w:tcW w:type="dxa" w:w="388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Warm cache; representative filters</w:t>
            </w:r>
          </w:p>
        </w:tc>
      </w:tr>
      <w:tr>
        <w:tc>
          <w:tcPr>
            <w:tcW w:type="dxa" w:w="223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Checkout API p95</w:t>
            </w:r>
          </w:p>
        </w:tc>
        <w:tc>
          <w:tcPr>
            <w:tcW w:type="dxa" w:w="309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≤800 ms excluding provider redirect</w:t>
            </w:r>
          </w:p>
        </w:tc>
        <w:tc>
          <w:tcPr>
            <w:tcW w:type="dxa" w:w="388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Includes price/inventory validation</w:t>
            </w:r>
          </w:p>
        </w:tc>
      </w:tr>
    </w:tbl>
    <w:p>
      <w:pPr>
        <w:spacing w:after="20"/>
      </w:pPr>
    </w:p>
    <w:p>
      <w:pPr>
        <w:pStyle w:val="Heading2"/>
      </w:pPr>
      <w:r>
        <w:t>Availability and resilience</w:t>
      </w:r>
    </w:p>
    <w:p>
      <w:pPr>
        <w:pStyle w:val="ListBullet"/>
        <w:spacing w:after="60" w:line="259" w:lineRule="auto"/>
        <w:ind w:left="360" w:hanging="259"/>
      </w:pPr>
      <w:r>
        <w:rPr>
          <w:rFonts w:ascii="Aptos" w:hAnsi="Aptos"/>
          <w:b w:val="0"/>
          <w:i w:val="0"/>
          <w:color w:val="172033"/>
          <w:sz w:val="19"/>
        </w:rPr>
        <w:t>POC target 99.5%; production SLO to be agreed by business criticality and support coverage.</w:t>
      </w:r>
    </w:p>
    <w:p>
      <w:pPr>
        <w:pStyle w:val="ListBullet"/>
        <w:spacing w:after="60" w:line="259" w:lineRule="auto"/>
        <w:ind w:left="360" w:hanging="259"/>
      </w:pPr>
      <w:r>
        <w:rPr>
          <w:rFonts w:ascii="Aptos" w:hAnsi="Aptos"/>
          <w:b w:val="0"/>
          <w:i w:val="0"/>
          <w:color w:val="172033"/>
          <w:sz w:val="19"/>
        </w:rPr>
        <w:t>Graceful degradation: browsing continues if bot/3D/analytics fails; checkout blocks safely if price, inventory or payment authority is unavailable.</w:t>
      </w:r>
    </w:p>
    <w:p>
      <w:pPr>
        <w:pStyle w:val="ListBullet"/>
        <w:spacing w:after="60" w:line="259" w:lineRule="auto"/>
        <w:ind w:left="360" w:hanging="259"/>
      </w:pPr>
      <w:r>
        <w:rPr>
          <w:rFonts w:ascii="Aptos" w:hAnsi="Aptos"/>
          <w:b w:val="0"/>
          <w:i w:val="0"/>
          <w:color w:val="172033"/>
          <w:sz w:val="19"/>
        </w:rPr>
        <w:t>Database backup with restore drills; explicit RPO/RTO before pilot.</w:t>
      </w:r>
    </w:p>
    <w:p>
      <w:pPr>
        <w:pStyle w:val="ListBullet"/>
        <w:spacing w:after="60" w:line="259" w:lineRule="auto"/>
        <w:ind w:left="360" w:hanging="259"/>
      </w:pPr>
      <w:r>
        <w:rPr>
          <w:rFonts w:ascii="Aptos" w:hAnsi="Aptos"/>
          <w:b w:val="0"/>
          <w:i w:val="0"/>
          <w:color w:val="172033"/>
          <w:sz w:val="19"/>
        </w:rPr>
        <w:t>Queue failed events to dead-letter handling with alerting and replay tooling.</w:t>
      </w:r>
    </w:p>
    <w:p>
      <w:pPr>
        <w:pStyle w:val="ListBullet"/>
        <w:spacing w:after="60" w:line="259" w:lineRule="auto"/>
        <w:ind w:left="360" w:hanging="259"/>
      </w:pPr>
      <w:r>
        <w:rPr>
          <w:rFonts w:ascii="Aptos" w:hAnsi="Aptos"/>
          <w:b w:val="0"/>
          <w:i w:val="0"/>
          <w:color w:val="172033"/>
          <w:sz w:val="19"/>
        </w:rPr>
        <w:t>Maintenance mode and feature flags for wholesale prices, payment methods, 3D, bot tools and campaigns.</w:t>
      </w:r>
    </w:p>
    <w:p>
      <w:pPr>
        <w:pStyle w:val="Heading2"/>
      </w:pPr>
      <w:r>
        <w:t>Accessibility and localization</w:t>
      </w:r>
    </w:p>
    <w:p>
      <w:pPr>
        <w:spacing w:after="120" w:line="269" w:lineRule="auto"/>
      </w:pPr>
      <w:r>
        <w:rPr>
          <w:rFonts w:ascii="Aptos" w:hAnsi="Aptos"/>
          <w:b w:val="0"/>
          <w:i w:val="0"/>
          <w:color w:val="172033"/>
          <w:sz w:val="20"/>
        </w:rPr>
        <w:t>WCAG 2.2 AA is a release requirement. Use semantic HTML, complete keyboard support, accessible names/descriptions, predictable focus, announcements for async cart/save states and screen-reader-equivalent 3D data. Externalize all user-facing strings; support INR, Indian number grouping, Asia/Kolkata display and future English/Marathi/Hindi.</w:t>
      </w:r>
    </w:p>
    <w:p>
      <w:r>
        <w:br w:type="page"/>
      </w:r>
    </w:p>
    <w:p>
      <w:pPr>
        <w:pStyle w:val="Heading1"/>
      </w:pPr>
      <w:r>
        <w:t>7. Security, compliance and abuse prevention</w:t>
      </w:r>
    </w:p>
    <w:p>
      <w:pPr>
        <w:pStyle w:val="Heading2"/>
      </w:pPr>
      <w:r>
        <w:t>Security baseline</w:t>
      </w:r>
    </w:p>
    <w:p>
      <w:pPr>
        <w:pStyle w:val="ListBullet"/>
        <w:spacing w:after="60" w:line="259" w:lineRule="auto"/>
        <w:ind w:left="360" w:hanging="259"/>
      </w:pPr>
      <w:r>
        <w:rPr>
          <w:rFonts w:ascii="Aptos" w:hAnsi="Aptos"/>
          <w:b w:val="0"/>
          <w:i w:val="0"/>
          <w:color w:val="172033"/>
          <w:sz w:val="19"/>
        </w:rPr>
        <w:t>Threat-model authentication, pricing authorization, payment links, webhook handling, admin tools, file upload, share links and bot tools.</w:t>
      </w:r>
    </w:p>
    <w:p>
      <w:pPr>
        <w:pStyle w:val="ListBullet"/>
        <w:spacing w:after="60" w:line="259" w:lineRule="auto"/>
        <w:ind w:left="360" w:hanging="259"/>
      </w:pPr>
      <w:r>
        <w:rPr>
          <w:rFonts w:ascii="Aptos" w:hAnsi="Aptos"/>
          <w:b w:val="0"/>
          <w:i w:val="0"/>
          <w:color w:val="172033"/>
          <w:sz w:val="19"/>
        </w:rPr>
        <w:t>Follow current OWASP ASVS-aligned controls; dependency and container scanning in CI; patch SLA by severity.</w:t>
      </w:r>
    </w:p>
    <w:p>
      <w:pPr>
        <w:pStyle w:val="ListBullet"/>
        <w:spacing w:after="60" w:line="259" w:lineRule="auto"/>
        <w:ind w:left="360" w:hanging="259"/>
      </w:pPr>
      <w:r>
        <w:rPr>
          <w:rFonts w:ascii="Aptos" w:hAnsi="Aptos"/>
          <w:b w:val="0"/>
          <w:i w:val="0"/>
          <w:color w:val="172033"/>
          <w:sz w:val="19"/>
        </w:rPr>
        <w:t>CSP with nonces/hashes, strict transport security, secure cookies, output encoding and validated redirects.</w:t>
      </w:r>
    </w:p>
    <w:p>
      <w:pPr>
        <w:pStyle w:val="ListBullet"/>
        <w:spacing w:after="60" w:line="259" w:lineRule="auto"/>
        <w:ind w:left="360" w:hanging="259"/>
      </w:pPr>
      <w:r>
        <w:rPr>
          <w:rFonts w:ascii="Aptos" w:hAnsi="Aptos"/>
          <w:b w:val="0"/>
          <w:i w:val="0"/>
          <w:color w:val="172033"/>
          <w:sz w:val="19"/>
        </w:rPr>
        <w:t>Rate-limit search, OTP, login, QR creation, bot and checkout; add bot/fraud challenges only when risk signals justify friction.</w:t>
      </w:r>
    </w:p>
    <w:p>
      <w:pPr>
        <w:pStyle w:val="ListBullet"/>
        <w:spacing w:after="60" w:line="259" w:lineRule="auto"/>
        <w:ind w:left="360" w:hanging="259"/>
      </w:pPr>
      <w:r>
        <w:rPr>
          <w:rFonts w:ascii="Aptos" w:hAnsi="Aptos"/>
          <w:b w:val="0"/>
          <w:i w:val="0"/>
          <w:color w:val="172033"/>
          <w:sz w:val="19"/>
        </w:rPr>
        <w:t>Validate uploads by type/signature, scan files, strip metadata where appropriate and serve from isolated origin.</w:t>
      </w:r>
    </w:p>
    <w:p>
      <w:pPr>
        <w:pStyle w:val="ListBullet"/>
        <w:spacing w:after="60" w:line="259" w:lineRule="auto"/>
        <w:ind w:left="360" w:hanging="259"/>
      </w:pPr>
      <w:r>
        <w:rPr>
          <w:rFonts w:ascii="Aptos" w:hAnsi="Aptos"/>
          <w:b w:val="0"/>
          <w:i w:val="0"/>
          <w:color w:val="172033"/>
          <w:sz w:val="19"/>
        </w:rPr>
        <w:t>Encrypt secrets in managed secret store; rotate; separate dev/stage/prod accounts and data.</w:t>
      </w:r>
    </w:p>
    <w:p>
      <w:pPr>
        <w:pStyle w:val="ListBullet"/>
        <w:spacing w:after="60" w:line="259" w:lineRule="auto"/>
        <w:ind w:left="360" w:hanging="259"/>
      </w:pPr>
      <w:r>
        <w:rPr>
          <w:rFonts w:ascii="Aptos" w:hAnsi="Aptos"/>
          <w:b w:val="0"/>
          <w:i w:val="0"/>
          <w:color w:val="172033"/>
          <w:sz w:val="19"/>
        </w:rPr>
        <w:t>Audit admin reads/changes for price, inventory, role, verification, order and refund.</w:t>
      </w:r>
    </w:p>
    <w:p>
      <w:pPr>
        <w:pStyle w:val="Heading2"/>
      </w:pPr>
      <w:r>
        <w:t>India-specific review gates</w:t>
      </w:r>
    </w:p>
    <w:p>
      <w:pPr>
        <w:spacing w:after="120" w:line="269" w:lineRule="auto"/>
      </w:pPr>
      <w:r>
        <w:rPr>
          <w:rFonts w:ascii="Aptos" w:hAnsi="Aptos"/>
          <w:b w:val="0"/>
          <w:i w:val="0"/>
          <w:color w:val="172033"/>
          <w:sz w:val="20"/>
        </w:rPr>
        <w:t>Before production, obtain qualified legal/payment advice for applicable Indian privacy, consumer protection, e-commerce, GST invoicing, payment aggregation, refund and marketing-consent obligations. The system must support policy versioning, consent evidence, seller/business disclosures, grievance/support details, tax invoice data and transparent total pricing; exact obligations depend on Balaji’s legal and operating model.</w:t>
      </w:r>
    </w:p>
    <w:p>
      <w:pPr>
        <w:pStyle w:val="Heading2"/>
      </w:pPr>
      <w:r>
        <w:t>Bot security</w:t>
      </w:r>
    </w:p>
    <w:p>
      <w:pPr>
        <w:pStyle w:val="ListBullet"/>
        <w:spacing w:after="60" w:line="259" w:lineRule="auto"/>
        <w:ind w:left="360" w:hanging="259"/>
      </w:pPr>
      <w:r>
        <w:rPr>
          <w:rFonts w:ascii="Aptos" w:hAnsi="Aptos"/>
          <w:b w:val="0"/>
          <w:i w:val="0"/>
          <w:color w:val="172033"/>
          <w:sz w:val="19"/>
        </w:rPr>
        <w:t>Treat retrieved content and user text as untrusted; defend against prompt injection and data exfiltration.</w:t>
      </w:r>
    </w:p>
    <w:p>
      <w:pPr>
        <w:pStyle w:val="ListBullet"/>
        <w:spacing w:after="60" w:line="259" w:lineRule="auto"/>
        <w:ind w:left="360" w:hanging="259"/>
      </w:pPr>
      <w:r>
        <w:rPr>
          <w:rFonts w:ascii="Aptos" w:hAnsi="Aptos"/>
          <w:b w:val="0"/>
          <w:i w:val="0"/>
          <w:color w:val="172033"/>
          <w:sz w:val="19"/>
        </w:rPr>
        <w:t>Tools use server-side authorization and constrained schemas; model never receives reusable secrets.</w:t>
      </w:r>
    </w:p>
    <w:p>
      <w:pPr>
        <w:pStyle w:val="ListBullet"/>
        <w:spacing w:after="60" w:line="259" w:lineRule="auto"/>
        <w:ind w:left="360" w:hanging="259"/>
      </w:pPr>
      <w:r>
        <w:rPr>
          <w:rFonts w:ascii="Aptos" w:hAnsi="Aptos"/>
          <w:b w:val="0"/>
          <w:i w:val="0"/>
          <w:color w:val="172033"/>
          <w:sz w:val="19"/>
        </w:rPr>
        <w:t>Financial/destructive actions require deterministic confirmation UI outside free-form chat.</w:t>
      </w:r>
    </w:p>
    <w:p>
      <w:pPr>
        <w:pStyle w:val="ListBullet"/>
        <w:spacing w:after="60" w:line="259" w:lineRule="auto"/>
        <w:ind w:left="360" w:hanging="259"/>
      </w:pPr>
      <w:r>
        <w:rPr>
          <w:rFonts w:ascii="Aptos" w:hAnsi="Aptos"/>
          <w:b w:val="0"/>
          <w:i w:val="0"/>
          <w:color w:val="172033"/>
          <w:sz w:val="19"/>
        </w:rPr>
        <w:t>Evaluate factuality, citation correctness, refusal, privacy leakage, cross-role data exposure and unsafe tool calls before release.</w:t>
      </w:r>
    </w:p>
    <w:p>
      <w:r>
        <w:br w:type="page"/>
      </w:r>
    </w:p>
    <w:p>
      <w:pPr>
        <w:pStyle w:val="Heading1"/>
      </w:pPr>
      <w:r>
        <w:t>8. Testing and delivery</w:t>
      </w:r>
    </w:p>
    <w:p>
      <w:pPr>
        <w:pStyle w:val="Heading2"/>
      </w:pPr>
      <w:r>
        <w:t>Test pyramid</w:t>
      </w:r>
    </w:p>
    <w:tbl>
      <w:tblPr>
        <w:tblW w:type="auto" w:w="0"/>
        <w:jc w:val="center"/>
        <w:tblLayout w:type="fixed"/>
        <w:tblLook w:firstColumn="1" w:firstRow="1" w:lastColumn="0" w:lastRow="0" w:noHBand="0" w:noVBand="1" w:val="04A0"/>
      </w:tblPr>
      <w:tblGrid>
        <w:gridCol w:w="4824"/>
        <w:gridCol w:w="4824"/>
      </w:tblGrid>
      <w:tr>
        <w:tc>
          <w:tcPr>
            <w:tcW w:type="dxa" w:w="1944"/>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Level</w:t>
            </w:r>
          </w:p>
        </w:tc>
        <w:tc>
          <w:tcPr>
            <w:tcW w:type="dxa" w:w="7272"/>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Coverage</w:t>
            </w:r>
          </w:p>
        </w:tc>
      </w:tr>
      <w:tr>
        <w:tc>
          <w:tcPr>
            <w:tcW w:type="dxa" w:w="194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Unit</w:t>
            </w:r>
          </w:p>
        </w:tc>
        <w:tc>
          <w:tcPr>
            <w:tcW w:type="dxa" w:w="72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Pricing rules, tax rounding, tier selection, state machines, QR scope, permission predicates</w:t>
            </w:r>
          </w:p>
        </w:tc>
      </w:tr>
      <w:tr>
        <w:tc>
          <w:tcPr>
            <w:tcW w:type="dxa" w:w="194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Component</w:t>
            </w:r>
          </w:p>
        </w:tc>
        <w:tc>
          <w:tcPr>
            <w:tcW w:type="dxa" w:w="72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All states, keyboard behavior, contrast, responsive layout, reduced motion</w:t>
            </w:r>
          </w:p>
        </w:tc>
      </w:tr>
      <w:tr>
        <w:tc>
          <w:tcPr>
            <w:tcW w:type="dxa" w:w="194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Integration</w:t>
            </w:r>
          </w:p>
        </w:tc>
        <w:tc>
          <w:tcPr>
            <w:tcW w:type="dxa" w:w="72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Database boundaries, cache invalidation, search indexing, payment webhook, notifications</w:t>
            </w:r>
          </w:p>
        </w:tc>
      </w:tr>
      <w:tr>
        <w:tc>
          <w:tcPr>
            <w:tcW w:type="dxa" w:w="194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E2E</w:t>
            </w:r>
          </w:p>
        </w:tc>
        <w:tc>
          <w:tcPr>
            <w:tcW w:type="dxa" w:w="72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Guest retail, signed retail, wholesale pending/verified, bookmark merge, quote, payment failure/retry, QR</w:t>
            </w:r>
          </w:p>
        </w:tc>
      </w:tr>
      <w:tr>
        <w:tc>
          <w:tcPr>
            <w:tcW w:type="dxa" w:w="194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Contract</w:t>
            </w:r>
          </w:p>
        </w:tc>
        <w:tc>
          <w:tcPr>
            <w:tcW w:type="dxa" w:w="72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Provider adapters, OpenAPI compatibility, webhook fixtures</w:t>
            </w:r>
          </w:p>
        </w:tc>
      </w:tr>
      <w:tr>
        <w:tc>
          <w:tcPr>
            <w:tcW w:type="dxa" w:w="194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Performance</w:t>
            </w:r>
          </w:p>
        </w:tc>
        <w:tc>
          <w:tcPr>
            <w:tcW w:type="dxa" w:w="72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Core Web Vitals, load test search/cart/checkout, 3D memory and long-task budgets</w:t>
            </w:r>
          </w:p>
        </w:tc>
      </w:tr>
      <w:tr>
        <w:tc>
          <w:tcPr>
            <w:tcW w:type="dxa" w:w="194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Security</w:t>
            </w:r>
          </w:p>
        </w:tc>
        <w:tc>
          <w:tcPr>
            <w:tcW w:type="dxa" w:w="72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SAST/SCA, secret scan, DAST, authorization matrix, abuse/rate-limit and pre-pilot penetration test</w:t>
            </w:r>
          </w:p>
        </w:tc>
      </w:tr>
      <w:tr>
        <w:tc>
          <w:tcPr>
            <w:tcW w:type="dxa" w:w="194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AI evals</w:t>
            </w:r>
          </w:p>
        </w:tc>
        <w:tc>
          <w:tcPr>
            <w:tcW w:type="dxa" w:w="72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Grounding, citations, multilingual prompts, injection, privacy and tool confirmation</w:t>
            </w:r>
          </w:p>
        </w:tc>
      </w:tr>
    </w:tbl>
    <w:p>
      <w:pPr>
        <w:spacing w:after="20"/>
      </w:pPr>
    </w:p>
    <w:p>
      <w:pPr>
        <w:pStyle w:val="Heading2"/>
      </w:pPr>
      <w:r>
        <w:t>CI/CD gates</w:t>
      </w:r>
    </w:p>
    <w:p>
      <w:pPr>
        <w:pStyle w:val="ListBullet"/>
        <w:spacing w:after="60" w:line="259" w:lineRule="auto"/>
        <w:ind w:left="360" w:hanging="259"/>
      </w:pPr>
      <w:r>
        <w:rPr>
          <w:rFonts w:ascii="Aptos" w:hAnsi="Aptos"/>
          <w:b w:val="0"/>
          <w:i w:val="0"/>
          <w:color w:val="172033"/>
          <w:sz w:val="19"/>
        </w:rPr>
        <w:t>Lint/typecheck/unit → build → component/a11y → integration → E2E smoke → dependency/security scan.</w:t>
      </w:r>
    </w:p>
    <w:p>
      <w:pPr>
        <w:pStyle w:val="ListBullet"/>
        <w:spacing w:after="60" w:line="259" w:lineRule="auto"/>
        <w:ind w:left="360" w:hanging="259"/>
      </w:pPr>
      <w:r>
        <w:rPr>
          <w:rFonts w:ascii="Aptos" w:hAnsi="Aptos"/>
          <w:b w:val="0"/>
          <w:i w:val="0"/>
          <w:color w:val="172033"/>
          <w:sz w:val="19"/>
        </w:rPr>
        <w:t>Preview deployment for each change with seeded non-sensitive data.</w:t>
      </w:r>
    </w:p>
    <w:p>
      <w:pPr>
        <w:pStyle w:val="ListBullet"/>
        <w:spacing w:after="60" w:line="259" w:lineRule="auto"/>
        <w:ind w:left="360" w:hanging="259"/>
      </w:pPr>
      <w:r>
        <w:rPr>
          <w:rFonts w:ascii="Aptos" w:hAnsi="Aptos"/>
          <w:b w:val="0"/>
          <w:i w:val="0"/>
          <w:color w:val="172033"/>
          <w:sz w:val="19"/>
        </w:rPr>
        <w:t>Database migrations are forward-compatible, reviewed, backed up and rollback/roll-forward tested.</w:t>
      </w:r>
    </w:p>
    <w:p>
      <w:pPr>
        <w:pStyle w:val="ListBullet"/>
        <w:spacing w:after="60" w:line="259" w:lineRule="auto"/>
        <w:ind w:left="360" w:hanging="259"/>
      </w:pPr>
      <w:r>
        <w:rPr>
          <w:rFonts w:ascii="Aptos" w:hAnsi="Aptos"/>
          <w:b w:val="0"/>
          <w:i w:val="0"/>
          <w:color w:val="172033"/>
          <w:sz w:val="19"/>
        </w:rPr>
        <w:t>Production deploy uses staged rollout and feature flags; payment/webhook changes require sandbox evidence.</w:t>
      </w:r>
    </w:p>
    <w:p>
      <w:pPr>
        <w:pStyle w:val="ListBullet"/>
        <w:spacing w:after="60" w:line="259" w:lineRule="auto"/>
        <w:ind w:left="360" w:hanging="259"/>
      </w:pPr>
      <w:r>
        <w:rPr>
          <w:rFonts w:ascii="Aptos" w:hAnsi="Aptos"/>
          <w:b w:val="0"/>
          <w:i w:val="0"/>
          <w:color w:val="172033"/>
          <w:sz w:val="19"/>
        </w:rPr>
        <w:t>Release dashboard shows errors, vitals, payment success, search zero-results and authorization anomalies.</w:t>
      </w:r>
    </w:p>
    <w:p>
      <w:pPr>
        <w:pStyle w:val="Heading2"/>
      </w:pPr>
      <w:r>
        <w:t>Environments</w:t>
      </w:r>
    </w:p>
    <w:p>
      <w:pPr>
        <w:spacing w:after="120" w:line="269" w:lineRule="auto"/>
      </w:pPr>
      <w:r>
        <w:rPr>
          <w:rFonts w:ascii="Aptos" w:hAnsi="Aptos"/>
          <w:b w:val="0"/>
          <w:i w:val="0"/>
          <w:color w:val="172033"/>
          <w:sz w:val="20"/>
        </w:rPr>
        <w:t>Local → preview → staging → production. Staging uses sandbox providers and synthetic identities. Production data must never be copied into lower environments without approved anonymization. Seed scripts are deterministic and versioned.</w:t>
      </w:r>
    </w:p>
    <w:p>
      <w:pPr>
        <w:pStyle w:val="Heading2"/>
      </w:pPr>
      <w:r>
        <w:t>Definition of done</w:t>
      </w:r>
    </w:p>
    <w:p>
      <w:pPr>
        <w:pStyle w:val="ListBullet"/>
        <w:spacing w:after="60" w:line="259" w:lineRule="auto"/>
        <w:ind w:left="360" w:hanging="259"/>
      </w:pPr>
      <w:r>
        <w:rPr>
          <w:rFonts w:ascii="Aptos" w:hAnsi="Aptos"/>
          <w:b w:val="0"/>
          <w:i w:val="0"/>
          <w:color w:val="172033"/>
          <w:sz w:val="19"/>
        </w:rPr>
        <w:t>Acceptance criteria linked to automated or manual evidence.</w:t>
      </w:r>
    </w:p>
    <w:p>
      <w:pPr>
        <w:pStyle w:val="ListBullet"/>
        <w:spacing w:after="60" w:line="259" w:lineRule="auto"/>
        <w:ind w:left="360" w:hanging="259"/>
      </w:pPr>
      <w:r>
        <w:rPr>
          <w:rFonts w:ascii="Aptos" w:hAnsi="Aptos"/>
          <w:b w:val="0"/>
          <w:i w:val="0"/>
          <w:color w:val="172033"/>
          <w:sz w:val="19"/>
        </w:rPr>
        <w:t>No critical/high security findings; no known wholesale price exposure path.</w:t>
      </w:r>
    </w:p>
    <w:p>
      <w:pPr>
        <w:pStyle w:val="ListBullet"/>
        <w:spacing w:after="60" w:line="259" w:lineRule="auto"/>
        <w:ind w:left="360" w:hanging="259"/>
      </w:pPr>
      <w:r>
        <w:rPr>
          <w:rFonts w:ascii="Aptos" w:hAnsi="Aptos"/>
          <w:b w:val="0"/>
          <w:i w:val="0"/>
          <w:color w:val="172033"/>
          <w:sz w:val="19"/>
        </w:rPr>
        <w:t>Performance and accessibility budgets pass on agreed devices/browsers.</w:t>
      </w:r>
    </w:p>
    <w:p>
      <w:pPr>
        <w:pStyle w:val="ListBullet"/>
        <w:spacing w:after="60" w:line="259" w:lineRule="auto"/>
        <w:ind w:left="360" w:hanging="259"/>
      </w:pPr>
      <w:r>
        <w:rPr>
          <w:rFonts w:ascii="Aptos" w:hAnsi="Aptos"/>
          <w:b w:val="0"/>
          <w:i w:val="0"/>
          <w:color w:val="172033"/>
          <w:sz w:val="19"/>
        </w:rPr>
        <w:t>Runbooks exist for payment outage, inventory mismatch, bot disablement, compromised share link and failed deployment.</w:t>
      </w:r>
    </w:p>
    <w:p>
      <w:pPr>
        <w:pStyle w:val="ListBullet"/>
        <w:spacing w:after="60" w:line="259" w:lineRule="auto"/>
        <w:ind w:left="360" w:hanging="259"/>
      </w:pPr>
      <w:r>
        <w:rPr>
          <w:rFonts w:ascii="Aptos" w:hAnsi="Aptos"/>
          <w:b w:val="0"/>
          <w:i w:val="0"/>
          <w:color w:val="172033"/>
          <w:sz w:val="19"/>
        </w:rPr>
        <w:t>Operations can edit catalog/content, verify wholesale accounts, trace an order and revoke a share/payment link without engineering.</w:t>
      </w:r>
    </w:p>
    <w:p>
      <w:r>
        <w:br w:type="page"/>
      </w:r>
    </w:p>
    <w:p>
      <w:pPr>
        <w:pStyle w:val="Heading1"/>
      </w:pPr>
      <w:r>
        <w:t>9. Build backlog and decisions</w:t>
      </w:r>
    </w:p>
    <w:p>
      <w:pPr>
        <w:pStyle w:val="Heading2"/>
      </w:pPr>
      <w:r>
        <w:t>Suggested epics</w:t>
      </w:r>
    </w:p>
    <w:tbl>
      <w:tblPr>
        <w:tblW w:type="auto" w:w="0"/>
        <w:jc w:val="center"/>
        <w:tblLayout w:type="fixed"/>
        <w:tblLook w:firstColumn="1" w:firstRow="1" w:lastColumn="0" w:lastRow="0" w:noHBand="0" w:noVBand="1" w:val="04A0"/>
      </w:tblPr>
      <w:tblGrid>
        <w:gridCol w:w="3216"/>
        <w:gridCol w:w="3216"/>
        <w:gridCol w:w="3216"/>
      </w:tblGrid>
      <w:tr>
        <w:tc>
          <w:tcPr>
            <w:tcW w:type="dxa" w:w="1872"/>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Epic</w:t>
            </w:r>
          </w:p>
        </w:tc>
        <w:tc>
          <w:tcPr>
            <w:tcW w:type="dxa" w:w="4680"/>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Key deliverable</w:t>
            </w:r>
          </w:p>
        </w:tc>
        <w:tc>
          <w:tcPr>
            <w:tcW w:type="dxa" w:w="2664"/>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Dependency</w:t>
            </w:r>
          </w:p>
        </w:tc>
      </w:tr>
      <w:tr>
        <w:tc>
          <w:tcPr>
            <w:tcW w:type="dxa" w:w="18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Foundation</w:t>
            </w:r>
          </w:p>
        </w:tc>
        <w:tc>
          <w:tcPr>
            <w:tcW w:type="dxa" w:w="468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Repo, CI, environments, tokens, shell, observability</w:t>
            </w:r>
          </w:p>
        </w:tc>
        <w:tc>
          <w:tcPr>
            <w:tcW w:type="dxa" w:w="266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Hosting and identity choice</w:t>
            </w:r>
          </w:p>
        </w:tc>
      </w:tr>
      <w:tr>
        <w:tc>
          <w:tcPr>
            <w:tcW w:type="dxa" w:w="18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Catalog</w:t>
            </w:r>
          </w:p>
        </w:tc>
        <w:tc>
          <w:tcPr>
            <w:tcW w:type="dxa" w:w="468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Schema, seed import, PLP/PDP, media and admin</w:t>
            </w:r>
          </w:p>
        </w:tc>
        <w:tc>
          <w:tcPr>
            <w:tcW w:type="dxa" w:w="266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Taxonomy approval</w:t>
            </w:r>
          </w:p>
        </w:tc>
      </w:tr>
      <w:tr>
        <w:tc>
          <w:tcPr>
            <w:tcW w:type="dxa" w:w="18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Discovery</w:t>
            </w:r>
          </w:p>
        </w:tc>
        <w:tc>
          <w:tcPr>
            <w:tcW w:type="dxa" w:w="468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Search, facets, autocomplete, compare</w:t>
            </w:r>
          </w:p>
        </w:tc>
        <w:tc>
          <w:tcPr>
            <w:tcW w:type="dxa" w:w="266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Catalog completeness</w:t>
            </w:r>
          </w:p>
        </w:tc>
      </w:tr>
      <w:tr>
        <w:tc>
          <w:tcPr>
            <w:tcW w:type="dxa" w:w="18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Identity/B2B</w:t>
            </w:r>
          </w:p>
        </w:tc>
        <w:tc>
          <w:tcPr>
            <w:tcW w:type="dxa" w:w="468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OTP, roles, verification, protected tiers</w:t>
            </w:r>
          </w:p>
        </w:tc>
        <w:tc>
          <w:tcPr>
            <w:tcW w:type="dxa" w:w="266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Wholesale policy</w:t>
            </w:r>
          </w:p>
        </w:tc>
      </w:tr>
      <w:tr>
        <w:tc>
          <w:tcPr>
            <w:tcW w:type="dxa" w:w="18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Saved work</w:t>
            </w:r>
          </w:p>
        </w:tc>
        <w:tc>
          <w:tcPr>
            <w:tcW w:type="dxa" w:w="468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Bookmarks, lists, merge, alerts</w:t>
            </w:r>
          </w:p>
        </w:tc>
        <w:tc>
          <w:tcPr>
            <w:tcW w:type="dxa" w:w="266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Identity and catalog</w:t>
            </w:r>
          </w:p>
        </w:tc>
      </w:tr>
      <w:tr>
        <w:tc>
          <w:tcPr>
            <w:tcW w:type="dxa" w:w="18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Commerce</w:t>
            </w:r>
          </w:p>
        </w:tc>
        <w:tc>
          <w:tcPr>
            <w:tcW w:type="dxa" w:w="468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Cart, pricing, checkout, sandbox payment link</w:t>
            </w:r>
          </w:p>
        </w:tc>
        <w:tc>
          <w:tcPr>
            <w:tcW w:type="dxa" w:w="266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Payment/provider decisions</w:t>
            </w:r>
          </w:p>
        </w:tc>
      </w:tr>
      <w:tr>
        <w:tc>
          <w:tcPr>
            <w:tcW w:type="dxa" w:w="18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Share</w:t>
            </w:r>
          </w:p>
        </w:tc>
        <w:tc>
          <w:tcPr>
            <w:tcW w:type="dxa" w:w="468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Scoped short links and QR management</w:t>
            </w:r>
          </w:p>
        </w:tc>
        <w:tc>
          <w:tcPr>
            <w:tcW w:type="dxa" w:w="266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Public URL/domain</w:t>
            </w:r>
          </w:p>
        </w:tc>
      </w:tr>
      <w:tr>
        <w:tc>
          <w:tcPr>
            <w:tcW w:type="dxa" w:w="18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Site Guide</w:t>
            </w:r>
          </w:p>
        </w:tc>
        <w:tc>
          <w:tcPr>
            <w:tcW w:type="dxa" w:w="468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Knowledge ingestion, grounded answers, safe tools</w:t>
            </w:r>
          </w:p>
        </w:tc>
        <w:tc>
          <w:tcPr>
            <w:tcW w:type="dxa" w:w="266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Approved policies/content</w:t>
            </w:r>
          </w:p>
        </w:tc>
      </w:tr>
      <w:tr>
        <w:tc>
          <w:tcPr>
            <w:tcW w:type="dxa" w:w="18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Experience</w:t>
            </w:r>
          </w:p>
        </w:tc>
        <w:tc>
          <w:tcPr>
            <w:tcW w:type="dxa" w:w="468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Landing, motion, 3D featured assets, reduced modes</w:t>
            </w:r>
          </w:p>
        </w:tc>
        <w:tc>
          <w:tcPr>
            <w:tcW w:type="dxa" w:w="266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Brand and media rights</w:t>
            </w:r>
          </w:p>
        </w:tc>
      </w:tr>
      <w:tr>
        <w:tc>
          <w:tcPr>
            <w:tcW w:type="dxa" w:w="18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Hardening</w:t>
            </w:r>
          </w:p>
        </w:tc>
        <w:tc>
          <w:tcPr>
            <w:tcW w:type="dxa" w:w="468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A11y, performance, security, resilience, runbooks</w:t>
            </w:r>
          </w:p>
        </w:tc>
        <w:tc>
          <w:tcPr>
            <w:tcW w:type="dxa" w:w="266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End-to-end feature completion</w:t>
            </w:r>
          </w:p>
        </w:tc>
      </w:tr>
    </w:tbl>
    <w:p>
      <w:pPr>
        <w:spacing w:after="20"/>
      </w:pPr>
    </w:p>
    <w:p>
      <w:pPr>
        <w:pStyle w:val="Heading2"/>
      </w:pPr>
      <w:r>
        <w:t>Architecture decisions to record</w:t>
      </w:r>
    </w:p>
    <w:p>
      <w:pPr>
        <w:pStyle w:val="ListBullet"/>
        <w:spacing w:after="60" w:line="259" w:lineRule="auto"/>
        <w:ind w:left="360" w:hanging="259"/>
      </w:pPr>
      <w:r>
        <w:rPr>
          <w:rFonts w:ascii="Aptos" w:hAnsi="Aptos"/>
          <w:b w:val="0"/>
          <w:i w:val="0"/>
          <w:color w:val="172033"/>
          <w:sz w:val="19"/>
        </w:rPr>
        <w:t>ADR-001 hosting/runtime and regions; ADR-002 auth provider and session model; ADR-003 catalog/PIM authority; ADR-004 search engine threshold; ADR-005 pricing authority; ADR-006 inventory reservation semantics; ADR-007 payment provider and link model; ADR-008 media rights/CDN; ADR-009 bot model, retention and tool policy; ADR-010 analytics/consent.</w:t>
      </w:r>
    </w:p>
    <w:p>
      <w:pPr>
        <w:pStyle w:val="Heading2"/>
      </w:pPr>
      <w:r>
        <w:t>Required owner inputs</w:t>
      </w:r>
    </w:p>
    <w:p>
      <w:pPr>
        <w:pStyle w:val="ListBullet"/>
        <w:spacing w:after="60" w:line="259" w:lineRule="auto"/>
        <w:ind w:left="360" w:hanging="259"/>
      </w:pPr>
      <w:r>
        <w:rPr>
          <w:rFonts w:ascii="Aptos" w:hAnsi="Aptos"/>
          <w:b w:val="0"/>
          <w:i w:val="0"/>
          <w:color w:val="172033"/>
          <w:sz w:val="19"/>
        </w:rPr>
        <w:t>Business/legal details, service PIN codes, operating hours and support contacts.</w:t>
      </w:r>
    </w:p>
    <w:p>
      <w:pPr>
        <w:pStyle w:val="ListBullet"/>
        <w:spacing w:after="60" w:line="259" w:lineRule="auto"/>
        <w:ind w:left="360" w:hanging="259"/>
      </w:pPr>
      <w:r>
        <w:rPr>
          <w:rFonts w:ascii="Aptos" w:hAnsi="Aptos"/>
          <w:b w:val="0"/>
          <w:i w:val="0"/>
          <w:color w:val="172033"/>
          <w:sz w:val="19"/>
        </w:rPr>
        <w:t>Product feed, authorized brands, stock locations, GST/tax configuration and media rights.</w:t>
      </w:r>
    </w:p>
    <w:p>
      <w:pPr>
        <w:pStyle w:val="ListBullet"/>
        <w:spacing w:after="60" w:line="259" w:lineRule="auto"/>
        <w:ind w:left="360" w:hanging="259"/>
      </w:pPr>
      <w:r>
        <w:rPr>
          <w:rFonts w:ascii="Aptos" w:hAnsi="Aptos"/>
          <w:b w:val="0"/>
          <w:i w:val="0"/>
          <w:color w:val="172033"/>
          <w:sz w:val="19"/>
        </w:rPr>
        <w:t>Retail/wholesale price policy, MOQ/slabs, verification, credit and quote approval.</w:t>
      </w:r>
    </w:p>
    <w:p>
      <w:pPr>
        <w:pStyle w:val="ListBullet"/>
        <w:spacing w:after="60" w:line="259" w:lineRule="auto"/>
        <w:ind w:left="360" w:hanging="259"/>
      </w:pPr>
      <w:r>
        <w:rPr>
          <w:rFonts w:ascii="Aptos" w:hAnsi="Aptos"/>
          <w:b w:val="0"/>
          <w:i w:val="0"/>
          <w:color w:val="172033"/>
          <w:sz w:val="19"/>
        </w:rPr>
        <w:t>Delivery, installation, warranty, return, cancellation, refund and grievance policies.</w:t>
      </w:r>
    </w:p>
    <w:p>
      <w:pPr>
        <w:pStyle w:val="ListBullet"/>
        <w:spacing w:after="60" w:line="259" w:lineRule="auto"/>
        <w:ind w:left="360" w:hanging="259"/>
      </w:pPr>
      <w:r>
        <w:rPr>
          <w:rFonts w:ascii="Aptos" w:hAnsi="Aptos"/>
          <w:b w:val="0"/>
          <w:i w:val="0"/>
          <w:color w:val="172033"/>
          <w:sz w:val="19"/>
        </w:rPr>
        <w:t>Payment methods/providers, analytics consent posture and launch languages.</w:t>
      </w:r>
    </w:p>
    <w:sectPr w:rsidR="00FC693F" w:rsidRPr="0006063C" w:rsidSect="00034616">
      <w:headerReference w:type="default" r:id="rId9"/>
      <w:footerReference w:type="default" r:id="rId10"/>
      <w:pgSz w:w="12240" w:h="15840"/>
      <w:pgMar w:top="1123"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748B"/>
        <w:sz w:val="16"/>
      </w:rPr>
      <w:t>Confidential working document  •  Pune  •  13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4748B"/>
        <w:sz w:val="16"/>
      </w:rPr>
      <w:t>BALAJI ELECTRONIC  /  PRODUCT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