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70923" w14:textId="77777777" w:rsidR="003C5675" w:rsidRDefault="003C5675" w:rsidP="003C56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  <w:shd w:val="clear" w:color="auto" w:fill="FFFF00"/>
        </w:rPr>
        <w:t>[Add AGM image]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3A65144" w14:textId="77777777" w:rsidR="003C5675" w:rsidRDefault="003C5675" w:rsidP="003C56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E887777" w14:textId="77777777" w:rsidR="003C5675" w:rsidRDefault="003C5675" w:rsidP="003C56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 xml:space="preserve">Reliance is becoming a deep-tech and advanced manufacturing company 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scxw93619674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 xml:space="preserve">to propel growth for a </w:t>
      </w:r>
      <w:proofErr w:type="spellStart"/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Viksit</w:t>
      </w:r>
      <w:proofErr w:type="spellEnd"/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 xml:space="preserve"> Bharat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45C014C" w14:textId="77777777" w:rsidR="003C5675" w:rsidRDefault="003C5675" w:rsidP="003C56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RIL 47</w:t>
      </w:r>
      <w:r>
        <w:rPr>
          <w:rStyle w:val="normaltextrun"/>
          <w:rFonts w:ascii="Aptos" w:eastAsiaTheme="majorEastAsia" w:hAnsi="Aptos" w:cs="Segoe UI"/>
          <w:sz w:val="17"/>
          <w:szCs w:val="17"/>
          <w:vertAlign w:val="superscript"/>
        </w:rPr>
        <w:t>TH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AGM | August 2024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8AA9E31" w14:textId="77777777" w:rsidR="003C5675" w:rsidRDefault="003C5675" w:rsidP="003C56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483B8FB" w14:textId="77777777" w:rsidR="003C5675" w:rsidRDefault="003C5675" w:rsidP="003C567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At the 47</w:t>
      </w:r>
      <w:r>
        <w:rPr>
          <w:rStyle w:val="normaltextrun"/>
          <w:rFonts w:ascii="Aptos" w:eastAsiaTheme="majorEastAsia" w:hAnsi="Aptos" w:cs="Segoe UI"/>
          <w:sz w:val="17"/>
          <w:szCs w:val="17"/>
          <w:vertAlign w:val="superscript"/>
        </w:rPr>
        <w:t>th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Annual General Meeting (AGM) post-IPO, RIL Chairman and Managing Director Mukesh Ambani spoke about how Reliance is driven by a purpose firmly rooted in the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'We Care'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philosophy.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C5C66B2" w14:textId="77777777" w:rsidR="003C5675" w:rsidRDefault="003C5675" w:rsidP="003C56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 xml:space="preserve">“This philosophy of doing business with a broader and noble purpose is instilled in all of us by our Founder Chairman, Shri </w:t>
      </w:r>
      <w:proofErr w:type="spellStart"/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Dhirubhai</w:t>
      </w:r>
      <w:proofErr w:type="spellEnd"/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 xml:space="preserve"> Ambani."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FDCC20E" w14:textId="77777777" w:rsidR="003C5675" w:rsidRDefault="003C5675" w:rsidP="003C567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“Irrespective of the volatile times globally, India remains the brightest beacon of hope for the world. With its rich cultural heritage, empowered population, surging economic power, and age-old advocacy of peace, our nation will play a pivotal role in changing the world for the better," he said about India's march towards a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'</w:t>
      </w:r>
      <w:proofErr w:type="spellStart"/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Viksit</w:t>
      </w:r>
      <w:proofErr w:type="spellEnd"/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 xml:space="preserve"> Bharat'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by 2047.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30D9BFB" w14:textId="77777777" w:rsidR="003C5675" w:rsidRDefault="003C5675" w:rsidP="003C567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93619674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  <w:u w:val="single"/>
        </w:rPr>
        <w:t>AGM highlights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C25C0A1" w14:textId="77777777" w:rsidR="003C5675" w:rsidRDefault="003C5675" w:rsidP="003C56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Digital Services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F5BAF29" w14:textId="77777777" w:rsidR="003C5675" w:rsidRDefault="003C5675" w:rsidP="003C5675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Jio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welcomed over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43 million</w:t>
      </w:r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new subscribers to broadband service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B5BAD75" w14:textId="77777777" w:rsidR="003C5675" w:rsidRDefault="003C5675" w:rsidP="003C5675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Revenue surpassed the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Rs 1,00,000 crore (US$12.0 billion) mark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, while net profit exceeded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₹20,000 crore (US$2.4 billion)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71A3B1E" w14:textId="77777777" w:rsidR="003C5675" w:rsidRDefault="003C5675" w:rsidP="003C5675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EBITDA margin reached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50.1%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, boosted by customer growth and operating leverage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45AD107" w14:textId="77777777" w:rsidR="003C5675" w:rsidRDefault="003C5675" w:rsidP="003C5675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Jio's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network carries nearly 8% of global mobile traffic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B11DF4B" w14:textId="77777777" w:rsidR="003C5675" w:rsidRDefault="003C5675" w:rsidP="003C5675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Current data prices that are one-fourth of the global average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7B033DC" w14:textId="77777777" w:rsidR="003C5675" w:rsidRDefault="003C5675" w:rsidP="003C5675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Jio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is the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world's largest data mobile company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1DC2632E" w14:textId="77777777" w:rsidR="003C5675" w:rsidRDefault="003C5675" w:rsidP="003C56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5639089" w14:textId="77777777" w:rsidR="003C5675" w:rsidRDefault="003C5675" w:rsidP="003C56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Jio</w:t>
      </w:r>
      <w:proofErr w:type="spellEnd"/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 xml:space="preserve"> as a true deep-tech innovator</w:t>
      </w: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17ACB3C9" w14:textId="77777777" w:rsidR="003C5675" w:rsidRDefault="003C5675" w:rsidP="003C567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proofErr w:type="spellStart"/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Jio</w:t>
      </w:r>
      <w:proofErr w:type="spellEnd"/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 xml:space="preserve"> Brain: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A comprehensive set of tools aimed at streamlining AI adoption across the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Jio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network, aimed at facilitating quicker decision-making, more precise predictions, and a deeper understanding of customer needs.</w:t>
      </w: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779DB98" w14:textId="77777777" w:rsidR="003C5675" w:rsidRDefault="003C5675" w:rsidP="003C5675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proofErr w:type="spellStart"/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Jio</w:t>
      </w:r>
      <w:proofErr w:type="spellEnd"/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 xml:space="preserve"> AI Cloud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: To support Reliance’s “AI Everywhere for Everyone” vision using connected intelligence, the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Jio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AI-Cloud Welcome offer was announced.</w:t>
      </w: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8EA2B2F" w14:textId="77777777" w:rsidR="003C5675" w:rsidRDefault="003C5675" w:rsidP="003C5675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proofErr w:type="spellStart"/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Jio</w:t>
      </w:r>
      <w:proofErr w:type="spellEnd"/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 xml:space="preserve"> Phone Call AI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: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Jio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Phone Call AI integrates AI into every phone call. It can record and store calls in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Jio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Cloud and transcribe them from voice to text. The service can also summarise the conversation made over calls and translate them into other languages.</w:t>
      </w: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A87A987" w14:textId="77777777" w:rsidR="003C5675" w:rsidRDefault="003C5675" w:rsidP="003C56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17F78D5" w14:textId="77777777" w:rsidR="003C5675" w:rsidRDefault="003C5675" w:rsidP="003C56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Jio</w:t>
      </w:r>
      <w:proofErr w:type="spellEnd"/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 xml:space="preserve"> Financial Services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24B6696" w14:textId="77777777" w:rsidR="003C5675" w:rsidRDefault="003C5675" w:rsidP="003C5675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Since launch, JFS is now worth nearly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₹2.2</w:t>
      </w:r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lakh crore ($26.4 billion)</w:t>
      </w:r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in market capitalisation.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 xml:space="preserve"> 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1AB4EDA" w14:textId="77777777" w:rsidR="003C5675" w:rsidRDefault="003C5675" w:rsidP="003C56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93619674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Media and Entertainment</w:t>
      </w: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3FCCA2C" w14:textId="77777777" w:rsidR="003C5675" w:rsidRDefault="003C5675" w:rsidP="003C5675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Revenue at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Rs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10,000 crore (US$1.2 billion)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, industry-leading growth of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49%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.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3E4F709" w14:textId="77777777" w:rsidR="003C5675" w:rsidRDefault="003C5675" w:rsidP="003C5675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Viacom18,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driven by the Sports segment, saw a remarkable growth of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62%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.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1E61A8B" w14:textId="77777777" w:rsidR="003C5675" w:rsidRDefault="003C5675" w:rsidP="003C5675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Second season of IPL on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proofErr w:type="spellStart"/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JioCinema</w:t>
      </w:r>
      <w:proofErr w:type="spellEnd"/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reached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62 crore Indians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. Total viewership grew by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50%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.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3950D27" w14:textId="77777777" w:rsidR="003C5675" w:rsidRDefault="003C5675" w:rsidP="003C5675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In just 100 days,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proofErr w:type="spellStart"/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JioCinema</w:t>
      </w:r>
      <w:proofErr w:type="spellEnd"/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crossed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15 million paying subscribers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.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8267605" w14:textId="77777777" w:rsidR="003C5675" w:rsidRDefault="003C5675" w:rsidP="003C5675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proofErr w:type="spellStart"/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Colors</w:t>
      </w:r>
      <w:proofErr w:type="spellEnd"/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reached its highest market share in 12 years. It climbed to the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Number 1 position</w:t>
      </w:r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last year.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 xml:space="preserve"> 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68A8A64" w14:textId="77777777" w:rsidR="003C5675" w:rsidRDefault="003C5675" w:rsidP="003C56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 </w:t>
      </w:r>
      <w:r>
        <w:rPr>
          <w:rStyle w:val="scxw93619674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Reliance Retail</w:t>
      </w: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BEBD960" w14:textId="77777777" w:rsidR="003C5675" w:rsidRDefault="003C5675" w:rsidP="003C5675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Among the 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top 10 global retailers by market cap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and among 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top 30 by revenues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11FEF073" w14:textId="77777777" w:rsidR="003C5675" w:rsidRDefault="003C5675" w:rsidP="003C5675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Registered customer base of 300 million+ 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C5B2492" w14:textId="77777777" w:rsidR="003C5675" w:rsidRDefault="003C5675" w:rsidP="003C5675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lastRenderedPageBreak/>
        <w:t xml:space="preserve">~19,000 stores, 80 million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sq.ft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>., reach across 7,000+ cities</w:t>
      </w: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F96E91A" w14:textId="77777777" w:rsidR="003C5675" w:rsidRDefault="003C5675" w:rsidP="003C5675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Digital platforms across consumption baskets</w:t>
      </w: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B797238" w14:textId="77777777" w:rsidR="003C5675" w:rsidRDefault="003C5675" w:rsidP="003C5675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Merchant partnership at 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 xml:space="preserve">4 million+ 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D1FBE23" w14:textId="77777777" w:rsidR="003C5675" w:rsidRDefault="003C5675" w:rsidP="003C56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 </w:t>
      </w:r>
      <w:r>
        <w:rPr>
          <w:rStyle w:val="scxw93619674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O2C</w:t>
      </w: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5CE1EDB" w14:textId="77777777" w:rsidR="003C5675" w:rsidRDefault="003C5675" w:rsidP="003C5675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New integrated facilities in the Vinyl value chain will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add 1.5 million tonnes per annum (MMTPA) of PVC and CPVC at</w:t>
      </w:r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 </w:t>
      </w:r>
      <w:proofErr w:type="spellStart"/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Dahej</w:t>
      </w:r>
      <w:proofErr w:type="spellEnd"/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 xml:space="preserve">and </w:t>
      </w:r>
      <w:proofErr w:type="spellStart"/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Nagothane</w:t>
      </w:r>
      <w:proofErr w:type="spellEnd"/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by 2026-27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F827EBE" w14:textId="77777777" w:rsidR="003C5675" w:rsidRDefault="003C5675" w:rsidP="003C5675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Building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 xml:space="preserve"> India's first world-class integrated carbon fibre plant</w:t>
      </w:r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at Hazira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C4507EF" w14:textId="77777777" w:rsidR="003C5675" w:rsidRDefault="003C5675" w:rsidP="003C56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F4E052F" w14:textId="77777777" w:rsidR="003C5675" w:rsidRDefault="003C5675" w:rsidP="003C56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scxw93619674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proofErr w:type="spellStart"/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Jio</w:t>
      </w:r>
      <w:proofErr w:type="spellEnd"/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-bp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F29C01A" w14:textId="77777777" w:rsidR="003C5675" w:rsidRDefault="003C5675" w:rsidP="003C5675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India's leading fast and reliable charging company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, with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over 4,800 charge points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across the country.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FBB9216" w14:textId="77777777" w:rsidR="003C5675" w:rsidRDefault="003C5675" w:rsidP="003C5675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More than doubled its market share in aviation turbine fuels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, solidifying its position in this critical sector.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9E064E1" w14:textId="77777777" w:rsidR="003C5675" w:rsidRDefault="003C5675" w:rsidP="003C5675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India's largest retailer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of high-methane content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Compressed Biogas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.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108AF491" w14:textId="77777777" w:rsidR="003C5675" w:rsidRDefault="003C5675" w:rsidP="003C56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DD51693" w14:textId="77777777" w:rsidR="003C5675" w:rsidRDefault="003C5675" w:rsidP="003C56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Oil &amp; Gas and E&amp;P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2CFCC36" w14:textId="77777777" w:rsidR="003C5675" w:rsidRDefault="003C5675" w:rsidP="003C5675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Reliance's fields in the KG Basin have reached peak output levels in 2024.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8DA000B" w14:textId="77777777" w:rsidR="003C5675" w:rsidRDefault="003C5675" w:rsidP="003C5675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As pioneers in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deepwater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development and production in India, RIL successfully commissioned six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deepwater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fields, establishing the company as a world-class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deepwater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operator. 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E408A54" w14:textId="77777777" w:rsidR="003C5675" w:rsidRDefault="003C5675" w:rsidP="003C5675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Currently, production from the KG D6 fields is nearly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30</w:t>
      </w:r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MMSCMD of gas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and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22,000 barrels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per day of condensate.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D07744F" w14:textId="77777777" w:rsidR="003C5675" w:rsidRDefault="003C5675" w:rsidP="003C5675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RIL contributes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nearly 30%</w:t>
      </w:r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of India's domestic gas production.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205D298" w14:textId="77777777" w:rsidR="003C5675" w:rsidRDefault="003C5675" w:rsidP="003C56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46CC72B" w14:textId="77777777" w:rsidR="003C5675" w:rsidRDefault="003C5675" w:rsidP="003C56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New Energy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C218E12" w14:textId="77777777" w:rsidR="003C5675" w:rsidRDefault="003C5675" w:rsidP="003C5675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Jamnagar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- the cradle of RIL’s New Energy business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E542407" w14:textId="77777777" w:rsidR="003C5675" w:rsidRDefault="003C5675" w:rsidP="003C5675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The production of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solar photovoltaic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(PV) modules will begin by the end of 2024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.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CF6F211" w14:textId="77777777" w:rsidR="003C5675" w:rsidRDefault="003C5675" w:rsidP="003C5675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The solar giga factory will include the manufacturing of PV modules, cells, wafers and ingots, polysilicon, and glass at a single location.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8B141A0" w14:textId="77777777" w:rsidR="003C5675" w:rsidRDefault="003C5675" w:rsidP="003C5675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Batteries:</w:t>
      </w:r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an integrated advanced chemistry-based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battery manufacturing facility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with a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30 GWh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annual capacity. Production will commence by second half of next year.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32F93F4" w14:textId="77777777" w:rsidR="003C5675" w:rsidRDefault="003C5675" w:rsidP="003C5675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Green hydrogen and green fuels:</w:t>
      </w:r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A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fully automated, multi-GW electrolyser manufacturing facility</w:t>
      </w:r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on the west coast of India, to be ready by 2026.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34BE903" w14:textId="77777777" w:rsidR="003C5675" w:rsidRDefault="003C5675" w:rsidP="003C56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1236C4D3" w14:textId="77777777" w:rsidR="003C5675" w:rsidRDefault="003C5675" w:rsidP="003C56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Reliance Foundation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A2996FD" w14:textId="77777777" w:rsidR="003C5675" w:rsidRDefault="003C5675" w:rsidP="003C5675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Reliance Foundation, in association with Indian Olympic Committee, hosted the first-ever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India House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at the Paris 2024 Olympics.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8924B92" w14:textId="77777777" w:rsidR="003C5675" w:rsidRDefault="003C5675" w:rsidP="003C5675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Hosted 141</w:t>
      </w:r>
      <w:r>
        <w:rPr>
          <w:rStyle w:val="normaltextrun"/>
          <w:rFonts w:ascii="Aptos" w:eastAsiaTheme="majorEastAsia" w:hAnsi="Aptos" w:cs="Segoe UI"/>
          <w:sz w:val="17"/>
          <w:szCs w:val="17"/>
          <w:vertAlign w:val="superscript"/>
        </w:rPr>
        <w:t>st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IOC Session in Mumbai in October 2023, where it was announced that cricket will be included in the 2028 Summer Games in Los Angeles.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F69C37A" w14:textId="77777777" w:rsidR="003C5675" w:rsidRDefault="003C5675" w:rsidP="003C5675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Vantara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, a sanctuary for animal rescue and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rehabilitation, was established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​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 xml:space="preserve"> 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77D1C4D" w14:textId="77777777" w:rsidR="003C5675" w:rsidRDefault="003C5675" w:rsidP="003C5675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Education and Sports for All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(ESA) programme has reached nearly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23</w:t>
      </w:r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million youngsters</w:t>
      </w:r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across multiple sports all over India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5B38EEA" w14:textId="77777777" w:rsidR="003C5675" w:rsidRDefault="003C5675" w:rsidP="003C5675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Nita Mukesh Ambani Junior School (NMAJS) and Nita Mukesh Ambani Early Years Campus (NMAJS-EYC) launch in Mumbai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47E71C9" w14:textId="77777777" w:rsidR="003C5675" w:rsidRDefault="003C5675" w:rsidP="003C5675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Swadesh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to go global, plans to expand in US and Europe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1E01080" w14:textId="77777777" w:rsidR="003C5675" w:rsidRDefault="003C5675" w:rsidP="003C5675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Sir H</w:t>
      </w:r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N</w:t>
      </w:r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Reliance Foundation Hospital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completes 10 years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BE5C84D" w14:textId="77777777" w:rsidR="003C5675" w:rsidRDefault="003C5675" w:rsidP="003C56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9422EF4" w14:textId="77777777" w:rsidR="003C5675" w:rsidRDefault="003C5675" w:rsidP="003C56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scxw93619674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ptos" w:eastAsiaTheme="majorEastAsia" w:hAnsi="Aptos" w:cs="Segoe UI"/>
          <w:b/>
          <w:bCs/>
          <w:i/>
          <w:iCs/>
          <w:sz w:val="22"/>
          <w:szCs w:val="22"/>
        </w:rPr>
        <w:t>Watch the 47</w:t>
      </w:r>
      <w:r>
        <w:rPr>
          <w:rStyle w:val="normaltextrun"/>
          <w:rFonts w:ascii="Aptos" w:eastAsiaTheme="majorEastAsia" w:hAnsi="Aptos" w:cs="Segoe UI"/>
          <w:b/>
          <w:bCs/>
          <w:i/>
          <w:iCs/>
          <w:sz w:val="17"/>
          <w:szCs w:val="17"/>
          <w:vertAlign w:val="superscript"/>
        </w:rPr>
        <w:t>th</w:t>
      </w:r>
      <w:r>
        <w:rPr>
          <w:rStyle w:val="normaltextrun"/>
          <w:rFonts w:ascii="Aptos" w:eastAsiaTheme="majorEastAsia" w:hAnsi="Aptos" w:cs="Segoe UI"/>
          <w:b/>
          <w:bCs/>
          <w:i/>
          <w:iCs/>
          <w:sz w:val="22"/>
          <w:szCs w:val="22"/>
        </w:rPr>
        <w:t xml:space="preserve"> AGM (post-IPO) on </w:t>
      </w:r>
      <w:hyperlink r:id="rId5" w:tgtFrame="_blank" w:history="1">
        <w:r>
          <w:rPr>
            <w:rStyle w:val="normaltextrun"/>
            <w:rFonts w:ascii="Aptos" w:eastAsiaTheme="majorEastAsia" w:hAnsi="Aptos" w:cs="Segoe UI"/>
            <w:b/>
            <w:bCs/>
            <w:i/>
            <w:iCs/>
            <w:color w:val="467886"/>
            <w:sz w:val="22"/>
            <w:szCs w:val="22"/>
            <w:u w:val="single"/>
          </w:rPr>
          <w:t>www.ril.com</w:t>
        </w:r>
      </w:hyperlink>
      <w:r>
        <w:rPr>
          <w:rStyle w:val="normaltextrun"/>
          <w:rFonts w:ascii="Aptos" w:eastAsiaTheme="majorEastAsia" w:hAnsi="Aptos" w:cs="Segoe UI"/>
          <w:b/>
          <w:bCs/>
          <w:i/>
          <w:iCs/>
          <w:sz w:val="22"/>
          <w:szCs w:val="22"/>
        </w:rPr>
        <w:t>.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B101F95" w14:textId="77777777" w:rsidR="003C5675" w:rsidRDefault="003C5675" w:rsidP="003C56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lastRenderedPageBreak/>
        <w:t> </w:t>
      </w:r>
    </w:p>
    <w:p w14:paraId="58DD258D" w14:textId="77777777" w:rsidR="00B2579C" w:rsidRPr="003C5675" w:rsidRDefault="00B2579C" w:rsidP="003C5675">
      <w:bookmarkStart w:id="0" w:name="_GoBack"/>
      <w:bookmarkEnd w:id="0"/>
    </w:p>
    <w:sectPr w:rsidR="00B2579C" w:rsidRPr="003C5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7519"/>
    <w:multiLevelType w:val="multilevel"/>
    <w:tmpl w:val="47C2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354FA1"/>
    <w:multiLevelType w:val="multilevel"/>
    <w:tmpl w:val="16CE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855587"/>
    <w:multiLevelType w:val="multilevel"/>
    <w:tmpl w:val="B706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797AD5"/>
    <w:multiLevelType w:val="multilevel"/>
    <w:tmpl w:val="13D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78556A"/>
    <w:multiLevelType w:val="multilevel"/>
    <w:tmpl w:val="33A4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A6766"/>
    <w:multiLevelType w:val="multilevel"/>
    <w:tmpl w:val="FFD2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9E20E8"/>
    <w:multiLevelType w:val="multilevel"/>
    <w:tmpl w:val="5920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70015B"/>
    <w:multiLevelType w:val="multilevel"/>
    <w:tmpl w:val="5EFA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501E54"/>
    <w:multiLevelType w:val="multilevel"/>
    <w:tmpl w:val="41E6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A70728"/>
    <w:multiLevelType w:val="multilevel"/>
    <w:tmpl w:val="67A4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9B2C68"/>
    <w:multiLevelType w:val="multilevel"/>
    <w:tmpl w:val="AE34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7A158F"/>
    <w:multiLevelType w:val="multilevel"/>
    <w:tmpl w:val="A9DC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384755"/>
    <w:multiLevelType w:val="multilevel"/>
    <w:tmpl w:val="AFB0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DD5982"/>
    <w:multiLevelType w:val="multilevel"/>
    <w:tmpl w:val="582C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E74B17"/>
    <w:multiLevelType w:val="multilevel"/>
    <w:tmpl w:val="10D4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FB38CC"/>
    <w:multiLevelType w:val="multilevel"/>
    <w:tmpl w:val="77EC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516336"/>
    <w:multiLevelType w:val="multilevel"/>
    <w:tmpl w:val="C920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4C7A3B"/>
    <w:multiLevelType w:val="multilevel"/>
    <w:tmpl w:val="E87C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9920EE7"/>
    <w:multiLevelType w:val="multilevel"/>
    <w:tmpl w:val="BBD6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C4E7339"/>
    <w:multiLevelType w:val="multilevel"/>
    <w:tmpl w:val="5314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FB577CE"/>
    <w:multiLevelType w:val="multilevel"/>
    <w:tmpl w:val="F43A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8B7A43"/>
    <w:multiLevelType w:val="multilevel"/>
    <w:tmpl w:val="4660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3784A09"/>
    <w:multiLevelType w:val="multilevel"/>
    <w:tmpl w:val="157E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8A4209"/>
    <w:multiLevelType w:val="multilevel"/>
    <w:tmpl w:val="38C0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1174572"/>
    <w:multiLevelType w:val="multilevel"/>
    <w:tmpl w:val="EF80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16E546D"/>
    <w:multiLevelType w:val="multilevel"/>
    <w:tmpl w:val="378E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EB7F9B"/>
    <w:multiLevelType w:val="multilevel"/>
    <w:tmpl w:val="454A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F46708"/>
    <w:multiLevelType w:val="multilevel"/>
    <w:tmpl w:val="E59C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8646A58"/>
    <w:multiLevelType w:val="multilevel"/>
    <w:tmpl w:val="0250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8B3BAA"/>
    <w:multiLevelType w:val="multilevel"/>
    <w:tmpl w:val="4512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D3705C"/>
    <w:multiLevelType w:val="multilevel"/>
    <w:tmpl w:val="8CE4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CFC215D"/>
    <w:multiLevelType w:val="multilevel"/>
    <w:tmpl w:val="3C88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5F598D"/>
    <w:multiLevelType w:val="multilevel"/>
    <w:tmpl w:val="9852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A511765"/>
    <w:multiLevelType w:val="multilevel"/>
    <w:tmpl w:val="64FA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E63498"/>
    <w:multiLevelType w:val="multilevel"/>
    <w:tmpl w:val="F3E0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FFC11BF"/>
    <w:multiLevelType w:val="multilevel"/>
    <w:tmpl w:val="1362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0B4317B"/>
    <w:multiLevelType w:val="multilevel"/>
    <w:tmpl w:val="E780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EB2885"/>
    <w:multiLevelType w:val="multilevel"/>
    <w:tmpl w:val="4F38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35B573C"/>
    <w:multiLevelType w:val="multilevel"/>
    <w:tmpl w:val="A8AE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79854B6"/>
    <w:multiLevelType w:val="multilevel"/>
    <w:tmpl w:val="32B6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CFB6E7E"/>
    <w:multiLevelType w:val="multilevel"/>
    <w:tmpl w:val="3C88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9"/>
  </w:num>
  <w:num w:numId="3">
    <w:abstractNumId w:val="10"/>
  </w:num>
  <w:num w:numId="4">
    <w:abstractNumId w:val="13"/>
  </w:num>
  <w:num w:numId="5">
    <w:abstractNumId w:val="26"/>
  </w:num>
  <w:num w:numId="6">
    <w:abstractNumId w:val="19"/>
  </w:num>
  <w:num w:numId="7">
    <w:abstractNumId w:val="2"/>
  </w:num>
  <w:num w:numId="8">
    <w:abstractNumId w:val="18"/>
  </w:num>
  <w:num w:numId="9">
    <w:abstractNumId w:val="6"/>
  </w:num>
  <w:num w:numId="10">
    <w:abstractNumId w:val="40"/>
  </w:num>
  <w:num w:numId="11">
    <w:abstractNumId w:val="23"/>
  </w:num>
  <w:num w:numId="12">
    <w:abstractNumId w:val="21"/>
  </w:num>
  <w:num w:numId="13">
    <w:abstractNumId w:val="8"/>
  </w:num>
  <w:num w:numId="14">
    <w:abstractNumId w:val="4"/>
  </w:num>
  <w:num w:numId="15">
    <w:abstractNumId w:val="33"/>
  </w:num>
  <w:num w:numId="16">
    <w:abstractNumId w:val="12"/>
  </w:num>
  <w:num w:numId="17">
    <w:abstractNumId w:val="31"/>
  </w:num>
  <w:num w:numId="18">
    <w:abstractNumId w:val="37"/>
  </w:num>
  <w:num w:numId="19">
    <w:abstractNumId w:val="11"/>
  </w:num>
  <w:num w:numId="20">
    <w:abstractNumId w:val="1"/>
  </w:num>
  <w:num w:numId="21">
    <w:abstractNumId w:val="24"/>
  </w:num>
  <w:num w:numId="22">
    <w:abstractNumId w:val="32"/>
  </w:num>
  <w:num w:numId="23">
    <w:abstractNumId w:val="36"/>
  </w:num>
  <w:num w:numId="24">
    <w:abstractNumId w:val="7"/>
  </w:num>
  <w:num w:numId="25">
    <w:abstractNumId w:val="17"/>
  </w:num>
  <w:num w:numId="26">
    <w:abstractNumId w:val="27"/>
  </w:num>
  <w:num w:numId="27">
    <w:abstractNumId w:val="3"/>
  </w:num>
  <w:num w:numId="28">
    <w:abstractNumId w:val="0"/>
  </w:num>
  <w:num w:numId="29">
    <w:abstractNumId w:val="20"/>
  </w:num>
  <w:num w:numId="30">
    <w:abstractNumId w:val="34"/>
  </w:num>
  <w:num w:numId="31">
    <w:abstractNumId w:val="16"/>
  </w:num>
  <w:num w:numId="32">
    <w:abstractNumId w:val="22"/>
  </w:num>
  <w:num w:numId="33">
    <w:abstractNumId w:val="25"/>
  </w:num>
  <w:num w:numId="34">
    <w:abstractNumId w:val="35"/>
  </w:num>
  <w:num w:numId="35">
    <w:abstractNumId w:val="5"/>
  </w:num>
  <w:num w:numId="36">
    <w:abstractNumId w:val="38"/>
  </w:num>
  <w:num w:numId="37">
    <w:abstractNumId w:val="15"/>
  </w:num>
  <w:num w:numId="38">
    <w:abstractNumId w:val="28"/>
  </w:num>
  <w:num w:numId="39">
    <w:abstractNumId w:val="39"/>
  </w:num>
  <w:num w:numId="40">
    <w:abstractNumId w:val="30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94"/>
    <w:rsid w:val="00041529"/>
    <w:rsid w:val="0006109D"/>
    <w:rsid w:val="000B7DA7"/>
    <w:rsid w:val="000D7CC7"/>
    <w:rsid w:val="001118E5"/>
    <w:rsid w:val="00117B09"/>
    <w:rsid w:val="001345C4"/>
    <w:rsid w:val="00147247"/>
    <w:rsid w:val="00161322"/>
    <w:rsid w:val="001A08EB"/>
    <w:rsid w:val="001B0194"/>
    <w:rsid w:val="001E7953"/>
    <w:rsid w:val="00250C88"/>
    <w:rsid w:val="00272485"/>
    <w:rsid w:val="002C2FA3"/>
    <w:rsid w:val="0032791F"/>
    <w:rsid w:val="0033096C"/>
    <w:rsid w:val="00373083"/>
    <w:rsid w:val="00374D63"/>
    <w:rsid w:val="003B5D4B"/>
    <w:rsid w:val="003C4486"/>
    <w:rsid w:val="003C5675"/>
    <w:rsid w:val="003F678A"/>
    <w:rsid w:val="00445A9B"/>
    <w:rsid w:val="00474FDA"/>
    <w:rsid w:val="004A55AD"/>
    <w:rsid w:val="004A67FF"/>
    <w:rsid w:val="00537EE2"/>
    <w:rsid w:val="0055012C"/>
    <w:rsid w:val="005755D8"/>
    <w:rsid w:val="00586B56"/>
    <w:rsid w:val="005962BA"/>
    <w:rsid w:val="005B5E9C"/>
    <w:rsid w:val="005C1F7B"/>
    <w:rsid w:val="005D6D25"/>
    <w:rsid w:val="0067248F"/>
    <w:rsid w:val="006C713B"/>
    <w:rsid w:val="00737AFB"/>
    <w:rsid w:val="0076523F"/>
    <w:rsid w:val="007746F9"/>
    <w:rsid w:val="007A0D27"/>
    <w:rsid w:val="007A0D59"/>
    <w:rsid w:val="00823E74"/>
    <w:rsid w:val="00857052"/>
    <w:rsid w:val="008F55B0"/>
    <w:rsid w:val="0091023B"/>
    <w:rsid w:val="00912CE4"/>
    <w:rsid w:val="00917A0A"/>
    <w:rsid w:val="0093436C"/>
    <w:rsid w:val="00955C56"/>
    <w:rsid w:val="00A01BC5"/>
    <w:rsid w:val="00A231DD"/>
    <w:rsid w:val="00AB6DD5"/>
    <w:rsid w:val="00B2579C"/>
    <w:rsid w:val="00B613C0"/>
    <w:rsid w:val="00BC6F5E"/>
    <w:rsid w:val="00C3703F"/>
    <w:rsid w:val="00CA5D58"/>
    <w:rsid w:val="00CC7029"/>
    <w:rsid w:val="00D452C2"/>
    <w:rsid w:val="00D67784"/>
    <w:rsid w:val="00DA0117"/>
    <w:rsid w:val="00DA4D42"/>
    <w:rsid w:val="00DF6DE4"/>
    <w:rsid w:val="00E112F5"/>
    <w:rsid w:val="00E60044"/>
    <w:rsid w:val="00E60317"/>
    <w:rsid w:val="00ED5088"/>
    <w:rsid w:val="00EE4E9B"/>
    <w:rsid w:val="00F63CFB"/>
    <w:rsid w:val="00F9297B"/>
    <w:rsid w:val="00F96110"/>
    <w:rsid w:val="00FA01CA"/>
    <w:rsid w:val="00FB3819"/>
    <w:rsid w:val="00FC1980"/>
    <w:rsid w:val="00FD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3A01"/>
  <w15:chartTrackingRefBased/>
  <w15:docId w15:val="{8EB61AD4-01EB-4BA7-9F08-574E0E2F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019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19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19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19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19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19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19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19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19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19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B0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19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19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B0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19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B0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19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B01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01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317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C5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normaltextrun">
    <w:name w:val="normaltextrun"/>
    <w:basedOn w:val="DefaultParagraphFont"/>
    <w:rsid w:val="003C5675"/>
  </w:style>
  <w:style w:type="character" w:customStyle="1" w:styleId="eop">
    <w:name w:val="eop"/>
    <w:basedOn w:val="DefaultParagraphFont"/>
    <w:rsid w:val="003C5675"/>
  </w:style>
  <w:style w:type="character" w:customStyle="1" w:styleId="scxw93619674">
    <w:name w:val="scxw93619674"/>
    <w:basedOn w:val="DefaultParagraphFont"/>
    <w:rsid w:val="003C5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4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1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il.com/news-media/events/becoming-a-deep-te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Rajgopal</dc:creator>
  <cp:keywords/>
  <dc:description/>
  <cp:lastModifiedBy>Harikrishna Nair</cp:lastModifiedBy>
  <cp:revision>63</cp:revision>
  <dcterms:created xsi:type="dcterms:W3CDTF">2024-12-09T03:38:00Z</dcterms:created>
  <dcterms:modified xsi:type="dcterms:W3CDTF">2024-12-12T11:49:00Z</dcterms:modified>
</cp:coreProperties>
</file>