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F4FCF"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439780" w:history="1">
        <w:r w:rsidR="001F4FCF" w:rsidRPr="009D2E9B">
          <w:rPr>
            <w:rStyle w:val="Hyperlink"/>
            <w:noProof/>
            <w:lang w:eastAsia="zh-TW"/>
          </w:rPr>
          <w:t>1</w:t>
        </w:r>
        <w:r w:rsidR="001F4FCF">
          <w:rPr>
            <w:noProof/>
            <w:sz w:val="22"/>
            <w:szCs w:val="22"/>
            <w:lang w:eastAsia="en-GB" w:bidi="ar-SA"/>
          </w:rPr>
          <w:tab/>
        </w:r>
        <w:r w:rsidR="001F4FCF" w:rsidRPr="009D2E9B">
          <w:rPr>
            <w:rStyle w:val="Hyperlink"/>
            <w:noProof/>
            <w:lang w:eastAsia="zh-TW"/>
          </w:rPr>
          <w:t>Introduction</w:t>
        </w:r>
        <w:r w:rsidR="001F4FCF">
          <w:rPr>
            <w:noProof/>
            <w:webHidden/>
          </w:rPr>
          <w:tab/>
        </w:r>
        <w:r w:rsidR="001F4FCF">
          <w:rPr>
            <w:noProof/>
            <w:webHidden/>
          </w:rPr>
          <w:fldChar w:fldCharType="begin"/>
        </w:r>
        <w:r w:rsidR="001F4FCF">
          <w:rPr>
            <w:noProof/>
            <w:webHidden/>
          </w:rPr>
          <w:instrText xml:space="preserve"> PAGEREF _Toc270439780 \h </w:instrText>
        </w:r>
        <w:r w:rsidR="001F4FCF">
          <w:rPr>
            <w:noProof/>
            <w:webHidden/>
          </w:rPr>
        </w:r>
        <w:r w:rsidR="001F4FCF">
          <w:rPr>
            <w:noProof/>
            <w:webHidden/>
          </w:rPr>
          <w:fldChar w:fldCharType="separate"/>
        </w:r>
        <w:r w:rsidR="001F4FCF">
          <w:rPr>
            <w:noProof/>
            <w:webHidden/>
          </w:rPr>
          <w:t>1</w:t>
        </w:r>
        <w:r w:rsidR="001F4FCF">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81" w:history="1">
        <w:r w:rsidRPr="009D2E9B">
          <w:rPr>
            <w:rStyle w:val="Hyperlink"/>
            <w:noProof/>
            <w:lang w:eastAsia="zh-TW"/>
          </w:rPr>
          <w:t>2</w:t>
        </w:r>
        <w:r>
          <w:rPr>
            <w:noProof/>
            <w:sz w:val="22"/>
            <w:szCs w:val="22"/>
            <w:lang w:eastAsia="en-GB" w:bidi="ar-SA"/>
          </w:rPr>
          <w:tab/>
        </w:r>
        <w:r w:rsidRPr="009D2E9B">
          <w:rPr>
            <w:rStyle w:val="Hyperlink"/>
            <w:noProof/>
            <w:lang w:eastAsia="zh-TW"/>
          </w:rPr>
          <w:t>Background</w:t>
        </w:r>
        <w:r>
          <w:rPr>
            <w:noProof/>
            <w:webHidden/>
          </w:rPr>
          <w:tab/>
        </w:r>
        <w:r>
          <w:rPr>
            <w:noProof/>
            <w:webHidden/>
          </w:rPr>
          <w:fldChar w:fldCharType="begin"/>
        </w:r>
        <w:r>
          <w:rPr>
            <w:noProof/>
            <w:webHidden/>
          </w:rPr>
          <w:instrText xml:space="preserve"> PAGEREF _Toc270439781 \h </w:instrText>
        </w:r>
        <w:r>
          <w:rPr>
            <w:noProof/>
            <w:webHidden/>
          </w:rPr>
        </w:r>
        <w:r>
          <w:rPr>
            <w:noProof/>
            <w:webHidden/>
          </w:rPr>
          <w:fldChar w:fldCharType="separate"/>
        </w:r>
        <w:r>
          <w:rPr>
            <w:noProof/>
            <w:webHidden/>
          </w:rPr>
          <w:t>2</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2" w:history="1">
        <w:r w:rsidRPr="009D2E9B">
          <w:rPr>
            <w:rStyle w:val="Hyperlink"/>
            <w:noProof/>
            <w:lang w:eastAsia="zh-TW"/>
          </w:rPr>
          <w:t>2.1</w:t>
        </w:r>
        <w:r>
          <w:rPr>
            <w:noProof/>
            <w:sz w:val="22"/>
            <w:szCs w:val="22"/>
            <w:lang w:eastAsia="en-GB" w:bidi="ar-SA"/>
          </w:rPr>
          <w:tab/>
        </w:r>
        <w:r w:rsidRPr="009D2E9B">
          <w:rPr>
            <w:rStyle w:val="Hyperlink"/>
            <w:noProof/>
            <w:lang w:eastAsia="zh-TW"/>
          </w:rPr>
          <w:t>Temporal Expressions</w:t>
        </w:r>
        <w:r>
          <w:rPr>
            <w:noProof/>
            <w:webHidden/>
          </w:rPr>
          <w:tab/>
        </w:r>
        <w:r>
          <w:rPr>
            <w:noProof/>
            <w:webHidden/>
          </w:rPr>
          <w:fldChar w:fldCharType="begin"/>
        </w:r>
        <w:r>
          <w:rPr>
            <w:noProof/>
            <w:webHidden/>
          </w:rPr>
          <w:instrText xml:space="preserve"> PAGEREF _Toc270439782 \h </w:instrText>
        </w:r>
        <w:r>
          <w:rPr>
            <w:noProof/>
            <w:webHidden/>
          </w:rPr>
        </w:r>
        <w:r>
          <w:rPr>
            <w:noProof/>
            <w:webHidden/>
          </w:rPr>
          <w:fldChar w:fldCharType="separate"/>
        </w:r>
        <w:r>
          <w:rPr>
            <w:noProof/>
            <w:webHidden/>
          </w:rPr>
          <w:t>2</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3" w:history="1">
        <w:r w:rsidRPr="009D2E9B">
          <w:rPr>
            <w:rStyle w:val="Hyperlink"/>
            <w:noProof/>
            <w:lang w:eastAsia="zh-TW"/>
          </w:rPr>
          <w:t>2.2</w:t>
        </w:r>
        <w:r>
          <w:rPr>
            <w:noProof/>
            <w:sz w:val="22"/>
            <w:szCs w:val="22"/>
            <w:lang w:eastAsia="en-GB" w:bidi="ar-SA"/>
          </w:rPr>
          <w:tab/>
        </w:r>
        <w:r w:rsidRPr="009D2E9B">
          <w:rPr>
            <w:rStyle w:val="Hyperlink"/>
            <w:noProof/>
            <w:lang w:eastAsia="zh-TW"/>
          </w:rPr>
          <w:t>Annotation Standards</w:t>
        </w:r>
        <w:r>
          <w:rPr>
            <w:noProof/>
            <w:webHidden/>
          </w:rPr>
          <w:tab/>
        </w:r>
        <w:r>
          <w:rPr>
            <w:noProof/>
            <w:webHidden/>
          </w:rPr>
          <w:fldChar w:fldCharType="begin"/>
        </w:r>
        <w:r>
          <w:rPr>
            <w:noProof/>
            <w:webHidden/>
          </w:rPr>
          <w:instrText xml:space="preserve"> PAGEREF _Toc270439783 \h </w:instrText>
        </w:r>
        <w:r>
          <w:rPr>
            <w:noProof/>
            <w:webHidden/>
          </w:rPr>
        </w:r>
        <w:r>
          <w:rPr>
            <w:noProof/>
            <w:webHidden/>
          </w:rPr>
          <w:fldChar w:fldCharType="separate"/>
        </w:r>
        <w:r>
          <w:rPr>
            <w:noProof/>
            <w:webHidden/>
          </w:rPr>
          <w:t>3</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4" w:history="1">
        <w:r w:rsidRPr="009D2E9B">
          <w:rPr>
            <w:rStyle w:val="Hyperlink"/>
            <w:noProof/>
          </w:rPr>
          <w:t>2.3</w:t>
        </w:r>
        <w:r>
          <w:rPr>
            <w:noProof/>
            <w:sz w:val="22"/>
            <w:szCs w:val="22"/>
            <w:lang w:eastAsia="en-GB" w:bidi="ar-SA"/>
          </w:rPr>
          <w:tab/>
        </w:r>
        <w:r w:rsidRPr="009D2E9B">
          <w:rPr>
            <w:rStyle w:val="Hyperlink"/>
            <w:noProof/>
          </w:rPr>
          <w:t>Evaluating Tagger Performance</w:t>
        </w:r>
        <w:r>
          <w:rPr>
            <w:noProof/>
            <w:webHidden/>
          </w:rPr>
          <w:tab/>
        </w:r>
        <w:r>
          <w:rPr>
            <w:noProof/>
            <w:webHidden/>
          </w:rPr>
          <w:fldChar w:fldCharType="begin"/>
        </w:r>
        <w:r>
          <w:rPr>
            <w:noProof/>
            <w:webHidden/>
          </w:rPr>
          <w:instrText xml:space="preserve"> PAGEREF _Toc270439784 \h </w:instrText>
        </w:r>
        <w:r>
          <w:rPr>
            <w:noProof/>
            <w:webHidden/>
          </w:rPr>
        </w:r>
        <w:r>
          <w:rPr>
            <w:noProof/>
            <w:webHidden/>
          </w:rPr>
          <w:fldChar w:fldCharType="separate"/>
        </w:r>
        <w:r>
          <w:rPr>
            <w:noProof/>
            <w:webHidden/>
          </w:rPr>
          <w:t>6</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5" w:history="1">
        <w:r w:rsidRPr="009D2E9B">
          <w:rPr>
            <w:rStyle w:val="Hyperlink"/>
            <w:noProof/>
            <w:lang w:eastAsia="zh-TW"/>
          </w:rPr>
          <w:t>2.4</w:t>
        </w:r>
        <w:r>
          <w:rPr>
            <w:noProof/>
            <w:sz w:val="22"/>
            <w:szCs w:val="22"/>
            <w:lang w:eastAsia="en-GB" w:bidi="ar-SA"/>
          </w:rPr>
          <w:tab/>
        </w:r>
        <w:r w:rsidRPr="009D2E9B">
          <w:rPr>
            <w:rStyle w:val="Hyperlink"/>
            <w:noProof/>
            <w:lang w:eastAsia="zh-TW"/>
          </w:rPr>
          <w:t>Corpora</w:t>
        </w:r>
        <w:r>
          <w:rPr>
            <w:noProof/>
            <w:webHidden/>
          </w:rPr>
          <w:tab/>
        </w:r>
        <w:r>
          <w:rPr>
            <w:noProof/>
            <w:webHidden/>
          </w:rPr>
          <w:fldChar w:fldCharType="begin"/>
        </w:r>
        <w:r>
          <w:rPr>
            <w:noProof/>
            <w:webHidden/>
          </w:rPr>
          <w:instrText xml:space="preserve"> PAGEREF _Toc270439785 \h </w:instrText>
        </w:r>
        <w:r>
          <w:rPr>
            <w:noProof/>
            <w:webHidden/>
          </w:rPr>
        </w:r>
        <w:r>
          <w:rPr>
            <w:noProof/>
            <w:webHidden/>
          </w:rPr>
          <w:fldChar w:fldCharType="separate"/>
        </w:r>
        <w:r>
          <w:rPr>
            <w:noProof/>
            <w:webHidden/>
          </w:rPr>
          <w:t>6</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6" w:history="1">
        <w:r w:rsidRPr="009D2E9B">
          <w:rPr>
            <w:rStyle w:val="Hyperlink"/>
            <w:noProof/>
          </w:rPr>
          <w:t>2.5</w:t>
        </w:r>
        <w:r>
          <w:rPr>
            <w:noProof/>
            <w:sz w:val="22"/>
            <w:szCs w:val="22"/>
            <w:lang w:eastAsia="en-GB" w:bidi="ar-SA"/>
          </w:rPr>
          <w:tab/>
        </w:r>
        <w:r w:rsidRPr="009D2E9B">
          <w:rPr>
            <w:rStyle w:val="Hyperlink"/>
            <w:noProof/>
          </w:rPr>
          <w:t>Temporal Expression Taggers</w:t>
        </w:r>
        <w:r>
          <w:rPr>
            <w:noProof/>
            <w:webHidden/>
          </w:rPr>
          <w:tab/>
        </w:r>
        <w:r>
          <w:rPr>
            <w:noProof/>
            <w:webHidden/>
          </w:rPr>
          <w:fldChar w:fldCharType="begin"/>
        </w:r>
        <w:r>
          <w:rPr>
            <w:noProof/>
            <w:webHidden/>
          </w:rPr>
          <w:instrText xml:space="preserve"> PAGEREF _Toc270439786 \h </w:instrText>
        </w:r>
        <w:r>
          <w:rPr>
            <w:noProof/>
            <w:webHidden/>
          </w:rPr>
        </w:r>
        <w:r>
          <w:rPr>
            <w:noProof/>
            <w:webHidden/>
          </w:rPr>
          <w:fldChar w:fldCharType="separate"/>
        </w:r>
        <w:r>
          <w:rPr>
            <w:noProof/>
            <w:webHidden/>
          </w:rPr>
          <w:t>7</w:t>
        </w:r>
        <w:r>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87" w:history="1">
        <w:r w:rsidRPr="009D2E9B">
          <w:rPr>
            <w:rStyle w:val="Hyperlink"/>
            <w:noProof/>
          </w:rPr>
          <w:t>3</w:t>
        </w:r>
        <w:r>
          <w:rPr>
            <w:noProof/>
            <w:sz w:val="22"/>
            <w:szCs w:val="22"/>
            <w:lang w:eastAsia="en-GB" w:bidi="ar-SA"/>
          </w:rPr>
          <w:tab/>
        </w:r>
        <w:r w:rsidRPr="009D2E9B">
          <w:rPr>
            <w:rStyle w:val="Hyperlink"/>
            <w:noProof/>
          </w:rPr>
          <w:t>Problem Analysis</w:t>
        </w:r>
        <w:r>
          <w:rPr>
            <w:noProof/>
            <w:webHidden/>
          </w:rPr>
          <w:tab/>
        </w:r>
        <w:r>
          <w:rPr>
            <w:noProof/>
            <w:webHidden/>
          </w:rPr>
          <w:fldChar w:fldCharType="begin"/>
        </w:r>
        <w:r>
          <w:rPr>
            <w:noProof/>
            <w:webHidden/>
          </w:rPr>
          <w:instrText xml:space="preserve"> PAGEREF _Toc270439787 \h </w:instrText>
        </w:r>
        <w:r>
          <w:rPr>
            <w:noProof/>
            <w:webHidden/>
          </w:rPr>
        </w:r>
        <w:r>
          <w:rPr>
            <w:noProof/>
            <w:webHidden/>
          </w:rPr>
          <w:fldChar w:fldCharType="separate"/>
        </w:r>
        <w:r>
          <w:rPr>
            <w:noProof/>
            <w:webHidden/>
          </w:rPr>
          <w:t>13</w:t>
        </w:r>
        <w:r>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88" w:history="1">
        <w:r w:rsidRPr="009D2E9B">
          <w:rPr>
            <w:rStyle w:val="Hyperlink"/>
            <w:noProof/>
          </w:rPr>
          <w:t>4</w:t>
        </w:r>
        <w:r>
          <w:rPr>
            <w:noProof/>
            <w:sz w:val="22"/>
            <w:szCs w:val="22"/>
            <w:lang w:eastAsia="en-GB" w:bidi="ar-SA"/>
          </w:rPr>
          <w:tab/>
        </w:r>
        <w:r w:rsidRPr="009D2E9B">
          <w:rPr>
            <w:rStyle w:val="Hyperlink"/>
            <w:noProof/>
          </w:rPr>
          <w:t>System</w:t>
        </w:r>
        <w:r>
          <w:rPr>
            <w:noProof/>
            <w:webHidden/>
          </w:rPr>
          <w:tab/>
        </w:r>
        <w:r>
          <w:rPr>
            <w:noProof/>
            <w:webHidden/>
          </w:rPr>
          <w:fldChar w:fldCharType="begin"/>
        </w:r>
        <w:r>
          <w:rPr>
            <w:noProof/>
            <w:webHidden/>
          </w:rPr>
          <w:instrText xml:space="preserve"> PAGEREF _Toc270439788 \h </w:instrText>
        </w:r>
        <w:r>
          <w:rPr>
            <w:noProof/>
            <w:webHidden/>
          </w:rPr>
        </w:r>
        <w:r>
          <w:rPr>
            <w:noProof/>
            <w:webHidden/>
          </w:rPr>
          <w:fldChar w:fldCharType="separate"/>
        </w:r>
        <w:r>
          <w:rPr>
            <w:noProof/>
            <w:webHidden/>
          </w:rPr>
          <w:t>14</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89" w:history="1">
        <w:r w:rsidRPr="009D2E9B">
          <w:rPr>
            <w:rStyle w:val="Hyperlink"/>
            <w:noProof/>
          </w:rPr>
          <w:t>4.1</w:t>
        </w:r>
        <w:r>
          <w:rPr>
            <w:noProof/>
            <w:sz w:val="22"/>
            <w:szCs w:val="22"/>
            <w:lang w:eastAsia="en-GB" w:bidi="ar-SA"/>
          </w:rPr>
          <w:tab/>
        </w:r>
        <w:r w:rsidRPr="009D2E9B">
          <w:rPr>
            <w:rStyle w:val="Hyperlink"/>
            <w:noProof/>
          </w:rPr>
          <w:t>Architecture</w:t>
        </w:r>
        <w:r>
          <w:rPr>
            <w:noProof/>
            <w:webHidden/>
          </w:rPr>
          <w:tab/>
        </w:r>
        <w:r>
          <w:rPr>
            <w:noProof/>
            <w:webHidden/>
          </w:rPr>
          <w:fldChar w:fldCharType="begin"/>
        </w:r>
        <w:r>
          <w:rPr>
            <w:noProof/>
            <w:webHidden/>
          </w:rPr>
          <w:instrText xml:space="preserve"> PAGEREF _Toc270439789 \h </w:instrText>
        </w:r>
        <w:r>
          <w:rPr>
            <w:noProof/>
            <w:webHidden/>
          </w:rPr>
        </w:r>
        <w:r>
          <w:rPr>
            <w:noProof/>
            <w:webHidden/>
          </w:rPr>
          <w:fldChar w:fldCharType="separate"/>
        </w:r>
        <w:r>
          <w:rPr>
            <w:noProof/>
            <w:webHidden/>
          </w:rPr>
          <w:t>14</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90" w:history="1">
        <w:r w:rsidRPr="009D2E9B">
          <w:rPr>
            <w:rStyle w:val="Hyperlink"/>
            <w:noProof/>
          </w:rPr>
          <w:t>4.2</w:t>
        </w:r>
        <w:r>
          <w:rPr>
            <w:noProof/>
            <w:sz w:val="22"/>
            <w:szCs w:val="22"/>
            <w:lang w:eastAsia="en-GB" w:bidi="ar-SA"/>
          </w:rPr>
          <w:tab/>
        </w:r>
        <w:r w:rsidRPr="009D2E9B">
          <w:rPr>
            <w:rStyle w:val="Hyperlink"/>
            <w:noProof/>
          </w:rPr>
          <w:t>Recognition By Rule</w:t>
        </w:r>
        <w:r>
          <w:rPr>
            <w:noProof/>
            <w:webHidden/>
          </w:rPr>
          <w:tab/>
        </w:r>
        <w:r>
          <w:rPr>
            <w:noProof/>
            <w:webHidden/>
          </w:rPr>
          <w:fldChar w:fldCharType="begin"/>
        </w:r>
        <w:r>
          <w:rPr>
            <w:noProof/>
            <w:webHidden/>
          </w:rPr>
          <w:instrText xml:space="preserve"> PAGEREF _Toc270439790 \h </w:instrText>
        </w:r>
        <w:r>
          <w:rPr>
            <w:noProof/>
            <w:webHidden/>
          </w:rPr>
        </w:r>
        <w:r>
          <w:rPr>
            <w:noProof/>
            <w:webHidden/>
          </w:rPr>
          <w:fldChar w:fldCharType="separate"/>
        </w:r>
        <w:r>
          <w:rPr>
            <w:noProof/>
            <w:webHidden/>
          </w:rPr>
          <w:t>16</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91" w:history="1">
        <w:r w:rsidRPr="009D2E9B">
          <w:rPr>
            <w:rStyle w:val="Hyperlink"/>
            <w:noProof/>
          </w:rPr>
          <w:t>4.3</w:t>
        </w:r>
        <w:r>
          <w:rPr>
            <w:noProof/>
            <w:sz w:val="22"/>
            <w:szCs w:val="22"/>
            <w:lang w:eastAsia="en-GB" w:bidi="ar-SA"/>
          </w:rPr>
          <w:tab/>
        </w:r>
        <w:r w:rsidRPr="009D2E9B">
          <w:rPr>
            <w:rStyle w:val="Hyperlink"/>
            <w:noProof/>
          </w:rPr>
          <w:t>Normalisation By Rule</w:t>
        </w:r>
        <w:r>
          <w:rPr>
            <w:noProof/>
            <w:webHidden/>
          </w:rPr>
          <w:tab/>
        </w:r>
        <w:r>
          <w:rPr>
            <w:noProof/>
            <w:webHidden/>
          </w:rPr>
          <w:fldChar w:fldCharType="begin"/>
        </w:r>
        <w:r>
          <w:rPr>
            <w:noProof/>
            <w:webHidden/>
          </w:rPr>
          <w:instrText xml:space="preserve"> PAGEREF _Toc270439791 \h </w:instrText>
        </w:r>
        <w:r>
          <w:rPr>
            <w:noProof/>
            <w:webHidden/>
          </w:rPr>
        </w:r>
        <w:r>
          <w:rPr>
            <w:noProof/>
            <w:webHidden/>
          </w:rPr>
          <w:fldChar w:fldCharType="separate"/>
        </w:r>
        <w:r>
          <w:rPr>
            <w:noProof/>
            <w:webHidden/>
          </w:rPr>
          <w:t>22</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92" w:history="1">
        <w:r w:rsidRPr="009D2E9B">
          <w:rPr>
            <w:rStyle w:val="Hyperlink"/>
            <w:noProof/>
          </w:rPr>
          <w:t>4.4</w:t>
        </w:r>
        <w:r>
          <w:rPr>
            <w:noProof/>
            <w:sz w:val="22"/>
            <w:szCs w:val="22"/>
            <w:lang w:eastAsia="en-GB" w:bidi="ar-SA"/>
          </w:rPr>
          <w:tab/>
        </w:r>
        <w:r w:rsidRPr="009D2E9B">
          <w:rPr>
            <w:rStyle w:val="Hyperlink"/>
            <w:noProof/>
          </w:rPr>
          <w:t>Document Formats</w:t>
        </w:r>
        <w:r>
          <w:rPr>
            <w:noProof/>
            <w:webHidden/>
          </w:rPr>
          <w:tab/>
        </w:r>
        <w:r>
          <w:rPr>
            <w:noProof/>
            <w:webHidden/>
          </w:rPr>
          <w:fldChar w:fldCharType="begin"/>
        </w:r>
        <w:r>
          <w:rPr>
            <w:noProof/>
            <w:webHidden/>
          </w:rPr>
          <w:instrText xml:space="preserve"> PAGEREF _Toc270439792 \h </w:instrText>
        </w:r>
        <w:r>
          <w:rPr>
            <w:noProof/>
            <w:webHidden/>
          </w:rPr>
        </w:r>
        <w:r>
          <w:rPr>
            <w:noProof/>
            <w:webHidden/>
          </w:rPr>
          <w:fldChar w:fldCharType="separate"/>
        </w:r>
        <w:r>
          <w:rPr>
            <w:noProof/>
            <w:webHidden/>
          </w:rPr>
          <w:t>29</w:t>
        </w:r>
        <w:r>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93" w:history="1">
        <w:r w:rsidRPr="009D2E9B">
          <w:rPr>
            <w:rStyle w:val="Hyperlink"/>
            <w:noProof/>
          </w:rPr>
          <w:t>5</w:t>
        </w:r>
        <w:r>
          <w:rPr>
            <w:noProof/>
            <w:sz w:val="22"/>
            <w:szCs w:val="22"/>
            <w:lang w:eastAsia="en-GB" w:bidi="ar-SA"/>
          </w:rPr>
          <w:tab/>
        </w:r>
        <w:r w:rsidRPr="009D2E9B">
          <w:rPr>
            <w:rStyle w:val="Hyperlink"/>
            <w:noProof/>
          </w:rPr>
          <w:t>Evaluation</w:t>
        </w:r>
        <w:r>
          <w:rPr>
            <w:noProof/>
            <w:webHidden/>
          </w:rPr>
          <w:tab/>
        </w:r>
        <w:r>
          <w:rPr>
            <w:noProof/>
            <w:webHidden/>
          </w:rPr>
          <w:fldChar w:fldCharType="begin"/>
        </w:r>
        <w:r>
          <w:rPr>
            <w:noProof/>
            <w:webHidden/>
          </w:rPr>
          <w:instrText xml:space="preserve"> PAGEREF _Toc270439793 \h </w:instrText>
        </w:r>
        <w:r>
          <w:rPr>
            <w:noProof/>
            <w:webHidden/>
          </w:rPr>
        </w:r>
        <w:r>
          <w:rPr>
            <w:noProof/>
            <w:webHidden/>
          </w:rPr>
          <w:fldChar w:fldCharType="separate"/>
        </w:r>
        <w:r>
          <w:rPr>
            <w:noProof/>
            <w:webHidden/>
          </w:rPr>
          <w:t>32</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94" w:history="1">
        <w:r w:rsidRPr="009D2E9B">
          <w:rPr>
            <w:rStyle w:val="Hyperlink"/>
            <w:noProof/>
          </w:rPr>
          <w:t>5.1</w:t>
        </w:r>
        <w:r>
          <w:rPr>
            <w:noProof/>
            <w:sz w:val="22"/>
            <w:szCs w:val="22"/>
            <w:lang w:eastAsia="en-GB" w:bidi="ar-SA"/>
          </w:rPr>
          <w:tab/>
        </w:r>
        <w:r w:rsidRPr="009D2E9B">
          <w:rPr>
            <w:rStyle w:val="Hyperlink"/>
            <w:noProof/>
          </w:rPr>
          <w:t>Software Verification</w:t>
        </w:r>
        <w:r>
          <w:rPr>
            <w:noProof/>
            <w:webHidden/>
          </w:rPr>
          <w:tab/>
        </w:r>
        <w:r>
          <w:rPr>
            <w:noProof/>
            <w:webHidden/>
          </w:rPr>
          <w:fldChar w:fldCharType="begin"/>
        </w:r>
        <w:r>
          <w:rPr>
            <w:noProof/>
            <w:webHidden/>
          </w:rPr>
          <w:instrText xml:space="preserve"> PAGEREF _Toc270439794 \h </w:instrText>
        </w:r>
        <w:r>
          <w:rPr>
            <w:noProof/>
            <w:webHidden/>
          </w:rPr>
        </w:r>
        <w:r>
          <w:rPr>
            <w:noProof/>
            <w:webHidden/>
          </w:rPr>
          <w:fldChar w:fldCharType="separate"/>
        </w:r>
        <w:r>
          <w:rPr>
            <w:noProof/>
            <w:webHidden/>
          </w:rPr>
          <w:t>32</w:t>
        </w:r>
        <w:r>
          <w:rPr>
            <w:noProof/>
            <w:webHidden/>
          </w:rPr>
          <w:fldChar w:fldCharType="end"/>
        </w:r>
      </w:hyperlink>
    </w:p>
    <w:p w:rsidR="001F4FCF" w:rsidRDefault="001F4FCF">
      <w:pPr>
        <w:pStyle w:val="TOC2"/>
        <w:tabs>
          <w:tab w:val="left" w:pos="880"/>
          <w:tab w:val="right" w:leader="dot" w:pos="8381"/>
        </w:tabs>
        <w:rPr>
          <w:noProof/>
          <w:sz w:val="22"/>
          <w:szCs w:val="22"/>
          <w:lang w:eastAsia="en-GB" w:bidi="ar-SA"/>
        </w:rPr>
      </w:pPr>
      <w:hyperlink w:anchor="_Toc270439795" w:history="1">
        <w:r w:rsidRPr="009D2E9B">
          <w:rPr>
            <w:rStyle w:val="Hyperlink"/>
            <w:noProof/>
          </w:rPr>
          <w:t>5.2</w:t>
        </w:r>
        <w:r>
          <w:rPr>
            <w:noProof/>
            <w:sz w:val="22"/>
            <w:szCs w:val="22"/>
            <w:lang w:eastAsia="en-GB" w:bidi="ar-SA"/>
          </w:rPr>
          <w:tab/>
        </w:r>
        <w:r w:rsidRPr="009D2E9B">
          <w:rPr>
            <w:rStyle w:val="Hyperlink"/>
            <w:noProof/>
          </w:rPr>
          <w:t>Performance Evaluation</w:t>
        </w:r>
        <w:r>
          <w:rPr>
            <w:noProof/>
            <w:webHidden/>
          </w:rPr>
          <w:tab/>
        </w:r>
        <w:r>
          <w:rPr>
            <w:noProof/>
            <w:webHidden/>
          </w:rPr>
          <w:fldChar w:fldCharType="begin"/>
        </w:r>
        <w:r>
          <w:rPr>
            <w:noProof/>
            <w:webHidden/>
          </w:rPr>
          <w:instrText xml:space="preserve"> PAGEREF _Toc270439795 \h </w:instrText>
        </w:r>
        <w:r>
          <w:rPr>
            <w:noProof/>
            <w:webHidden/>
          </w:rPr>
        </w:r>
        <w:r>
          <w:rPr>
            <w:noProof/>
            <w:webHidden/>
          </w:rPr>
          <w:fldChar w:fldCharType="separate"/>
        </w:r>
        <w:r>
          <w:rPr>
            <w:noProof/>
            <w:webHidden/>
          </w:rPr>
          <w:t>32</w:t>
        </w:r>
        <w:r>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96" w:history="1">
        <w:r w:rsidRPr="009D2E9B">
          <w:rPr>
            <w:rStyle w:val="Hyperlink"/>
            <w:noProof/>
          </w:rPr>
          <w:t>6</w:t>
        </w:r>
        <w:r>
          <w:rPr>
            <w:noProof/>
            <w:sz w:val="22"/>
            <w:szCs w:val="22"/>
            <w:lang w:eastAsia="en-GB" w:bidi="ar-SA"/>
          </w:rPr>
          <w:tab/>
        </w:r>
        <w:r w:rsidRPr="009D2E9B">
          <w:rPr>
            <w:rStyle w:val="Hyperlink"/>
            <w:noProof/>
          </w:rPr>
          <w:t>Discussion</w:t>
        </w:r>
        <w:r>
          <w:rPr>
            <w:noProof/>
            <w:webHidden/>
          </w:rPr>
          <w:tab/>
        </w:r>
        <w:r>
          <w:rPr>
            <w:noProof/>
            <w:webHidden/>
          </w:rPr>
          <w:fldChar w:fldCharType="begin"/>
        </w:r>
        <w:r>
          <w:rPr>
            <w:noProof/>
            <w:webHidden/>
          </w:rPr>
          <w:instrText xml:space="preserve"> PAGEREF _Toc270439796 \h </w:instrText>
        </w:r>
        <w:r>
          <w:rPr>
            <w:noProof/>
            <w:webHidden/>
          </w:rPr>
        </w:r>
        <w:r>
          <w:rPr>
            <w:noProof/>
            <w:webHidden/>
          </w:rPr>
          <w:fldChar w:fldCharType="separate"/>
        </w:r>
        <w:r>
          <w:rPr>
            <w:noProof/>
            <w:webHidden/>
          </w:rPr>
          <w:t>33</w:t>
        </w:r>
        <w:r>
          <w:rPr>
            <w:noProof/>
            <w:webHidden/>
          </w:rPr>
          <w:fldChar w:fldCharType="end"/>
        </w:r>
      </w:hyperlink>
    </w:p>
    <w:p w:rsidR="001F4FCF" w:rsidRDefault="001F4FCF">
      <w:pPr>
        <w:pStyle w:val="TOC1"/>
        <w:tabs>
          <w:tab w:val="left" w:pos="480"/>
          <w:tab w:val="right" w:leader="dot" w:pos="8381"/>
        </w:tabs>
        <w:rPr>
          <w:noProof/>
          <w:sz w:val="22"/>
          <w:szCs w:val="22"/>
          <w:lang w:eastAsia="en-GB" w:bidi="ar-SA"/>
        </w:rPr>
      </w:pPr>
      <w:hyperlink w:anchor="_Toc270439797" w:history="1">
        <w:r w:rsidRPr="009D2E9B">
          <w:rPr>
            <w:rStyle w:val="Hyperlink"/>
            <w:noProof/>
          </w:rPr>
          <w:t>7</w:t>
        </w:r>
        <w:r>
          <w:rPr>
            <w:noProof/>
            <w:sz w:val="22"/>
            <w:szCs w:val="22"/>
            <w:lang w:eastAsia="en-GB" w:bidi="ar-SA"/>
          </w:rPr>
          <w:tab/>
        </w:r>
        <w:r w:rsidRPr="009D2E9B">
          <w:rPr>
            <w:rStyle w:val="Hyperlink"/>
            <w:noProof/>
          </w:rPr>
          <w:t>Bibliography</w:t>
        </w:r>
        <w:r>
          <w:rPr>
            <w:noProof/>
            <w:webHidden/>
          </w:rPr>
          <w:tab/>
        </w:r>
        <w:r>
          <w:rPr>
            <w:noProof/>
            <w:webHidden/>
          </w:rPr>
          <w:fldChar w:fldCharType="begin"/>
        </w:r>
        <w:r>
          <w:rPr>
            <w:noProof/>
            <w:webHidden/>
          </w:rPr>
          <w:instrText xml:space="preserve"> PAGEREF _Toc270439797 \h </w:instrText>
        </w:r>
        <w:r>
          <w:rPr>
            <w:noProof/>
            <w:webHidden/>
          </w:rPr>
        </w:r>
        <w:r>
          <w:rPr>
            <w:noProof/>
            <w:webHidden/>
          </w:rPr>
          <w:fldChar w:fldCharType="separate"/>
        </w:r>
        <w:r>
          <w:rPr>
            <w:noProof/>
            <w:webHidden/>
          </w:rPr>
          <w:t>34</w:t>
        </w:r>
        <w:r>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439780"/>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439781"/>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439782"/>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F4FCF">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F4FCF">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F4FCF">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F4FCF">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F4FCF">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EndPr/>
        <w:sdtContent>
          <w:r>
            <w:rPr>
              <w:lang w:eastAsia="zh-TW"/>
            </w:rPr>
            <w:fldChar w:fldCharType="begin"/>
          </w:r>
          <w:r>
            <w:rPr>
              <w:lang w:eastAsia="zh-TW"/>
            </w:rPr>
            <w:instrText xml:space="preserve"> CITATION Ver04 \t  \l 2057  </w:instrText>
          </w:r>
          <w:r>
            <w:rPr>
              <w:lang w:eastAsia="zh-TW"/>
            </w:rPr>
            <w:fldChar w:fldCharType="separate"/>
          </w:r>
          <w:r w:rsidR="001F4FCF">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439783"/>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F4FCF">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F4FCF">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F4FCF">
        <w:t xml:space="preserve">Sample </w:t>
      </w:r>
      <w:r w:rsidR="001F4FCF">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1F4FCF">
        <w:rPr>
          <w:noProof/>
        </w:rPr>
        <w:t>1</w:t>
      </w:r>
      <w:r>
        <w:fldChar w:fldCharType="end"/>
      </w:r>
      <w:bookmarkEnd w:id="21"/>
      <w:r>
        <w:t xml:space="preserve"> - </w:t>
      </w:r>
      <w:r w:rsidRPr="000957D9">
        <w:t>A sample TIME</w:t>
      </w:r>
      <w:r>
        <w:t xml:space="preserve">X3 tag from the AQUAINT corpus </w:t>
      </w:r>
      <w:sdt>
        <w:sdtPr>
          <w:id w:val="-1422795380"/>
          <w:citation/>
        </w:sdtPr>
        <w:sdtEndPr/>
        <w:sdtContent>
          <w:r>
            <w:fldChar w:fldCharType="begin"/>
          </w:r>
          <w:r>
            <w:instrText xml:space="preserve">CITATION Ver08 \t  \l 2057 </w:instrText>
          </w:r>
          <w:r>
            <w:fldChar w:fldCharType="separate"/>
          </w:r>
          <w:r w:rsidR="001F4FCF">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F4FCF">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F4FCF">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439784"/>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F4FCF">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F4FCF">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End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F4FCF">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F4FCF">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F4FCF">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F4FCF">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439785"/>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1F4FCF">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EndPr/>
        <w:sdtContent>
          <w:r>
            <w:fldChar w:fldCharType="begin"/>
          </w:r>
          <w:r>
            <w:instrText xml:space="preserve"> CITATION Pus06 \l 2057 </w:instrText>
          </w:r>
          <w:r>
            <w:fldChar w:fldCharType="separate"/>
          </w:r>
          <w:r w:rsidR="001F4FCF">
            <w:rPr>
              <w:noProof/>
            </w:rPr>
            <w:t>(Pustejovsky, et al., 2006)</w:t>
          </w:r>
          <w:r>
            <w:rPr>
              <w:noProof/>
            </w:rPr>
            <w:fldChar w:fldCharType="end"/>
          </w:r>
        </w:sdtContent>
      </w:sdt>
      <w:r>
        <w:t xml:space="preserve"> is a later corpus that extends the TERN corpus to use the TimeML standard </w:t>
      </w:r>
      <w:sdt>
        <w:sdtPr>
          <w:id w:val="10593656"/>
          <w:citation/>
        </w:sdtPr>
        <w:sdtEndPr/>
        <w:sdtContent>
          <w:r>
            <w:fldChar w:fldCharType="begin"/>
          </w:r>
          <w:r>
            <w:instrText xml:space="preserve"> CITATION Pus03 \l 2057 </w:instrText>
          </w:r>
          <w:r>
            <w:fldChar w:fldCharType="separate"/>
          </w:r>
          <w:r w:rsidR="001F4FCF">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1F4FCF">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439786"/>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1F4FCF">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1F4FCF">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1F4FCF">
            <w:rPr>
              <w:noProof/>
              <w:lang w:eastAsia="zh-TW"/>
            </w:rPr>
            <w:t>(Ahn</w:t>
          </w:r>
          <w:proofErr w:type="gramEnd"/>
          <w:r w:rsidR="001F4FCF">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F4FCF">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F4FCF">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F4FCF">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1F4FCF">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1F4FCF">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1F4FCF">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F4FCF">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F4FCF">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F4FCF">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F4FCF">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F4FCF">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439787"/>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439788"/>
      <w:r>
        <w:lastRenderedPageBreak/>
        <w:t>System</w:t>
      </w:r>
      <w:bookmarkEnd w:id="52"/>
    </w:p>
    <w:p w:rsidR="0084586B" w:rsidRDefault="00FD0F9A" w:rsidP="00BD69BF">
      <w:r>
        <w:t xml:space="preserve">The TERNIP </w:t>
      </w:r>
      <w:r w:rsidR="00983318">
        <w:t>system is implemented in Python</w:t>
      </w:r>
      <w:r w:rsidR="00960E3E">
        <w:t xml:space="preserve"> </w:t>
      </w:r>
      <w:sdt>
        <w:sdtPr>
          <w:id w:val="1003099366"/>
          <w:citation/>
        </w:sdtPr>
        <w:sdtEndPr/>
        <w:sdtContent>
          <w:r w:rsidR="00960E3E">
            <w:fldChar w:fldCharType="begin"/>
          </w:r>
          <w:r w:rsidR="00960E3E">
            <w:instrText xml:space="preserve"> CITATION van95 \l 2057 </w:instrText>
          </w:r>
          <w:r w:rsidR="00960E3E">
            <w:fldChar w:fldCharType="separate"/>
          </w:r>
          <w:r w:rsidR="001F4FCF">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EndPr/>
        <w:sdtContent>
          <w:r>
            <w:fldChar w:fldCharType="begin"/>
          </w:r>
          <w:r>
            <w:instrText xml:space="preserve"> CITATION Fow06 \l 2057 </w:instrText>
          </w:r>
          <w:r>
            <w:fldChar w:fldCharType="separate"/>
          </w:r>
          <w:r w:rsidR="001F4FCF">
            <w:rPr>
              <w:noProof/>
            </w:rPr>
            <w:t>(Fowler, 2006)</w:t>
          </w:r>
          <w:r>
            <w:fldChar w:fldCharType="end"/>
          </w:r>
        </w:sdtContent>
      </w:sdt>
      <w:r>
        <w:t xml:space="preserve"> was set up, and the principles of test-driven development </w:t>
      </w:r>
      <w:sdt>
        <w:sdtPr>
          <w:id w:val="-1419714873"/>
          <w:citation/>
        </w:sdtPr>
        <w:sdtEndPr/>
        <w:sdtContent>
          <w:r>
            <w:fldChar w:fldCharType="begin"/>
          </w:r>
          <w:r>
            <w:instrText xml:space="preserve"> CITATION Bec03 \l 2057 </w:instrText>
          </w:r>
          <w:r>
            <w:fldChar w:fldCharType="separate"/>
          </w:r>
          <w:r w:rsidR="001F4FCF">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Ref270419873"/>
      <w:bookmarkStart w:id="54" w:name="_Toc270439789"/>
      <w:r>
        <w:t>Architecture</w:t>
      </w:r>
      <w:bookmarkEnd w:id="53"/>
      <w:bookmarkEnd w:id="54"/>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EndPr/>
        <w:sdtContent>
          <w:r w:rsidR="005175C7">
            <w:fldChar w:fldCharType="begin"/>
          </w:r>
          <w:r w:rsidR="005175C7">
            <w:instrText xml:space="preserve"> CITATION Pus03 \l 2057 </w:instrText>
          </w:r>
          <w:r w:rsidR="005175C7">
            <w:fldChar w:fldCharType="separate"/>
          </w:r>
          <w:r w:rsidR="001F4FCF">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F4FCF">
        <w:t xml:space="preserve">Table </w:t>
      </w:r>
      <w:r w:rsidR="001F4FCF">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EndPr/>
              <w:sdtContent>
                <w:r>
                  <w:fldChar w:fldCharType="begin"/>
                </w:r>
                <w:r>
                  <w:instrText xml:space="preserve"> CITATION Lis01 \l 2057 </w:instrText>
                </w:r>
                <w:r>
                  <w:fldChar w:fldCharType="separate"/>
                </w:r>
                <w:r w:rsidR="001F4FCF">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5" w:name="_Ref270079381"/>
      <w:r>
        <w:t xml:space="preserve">Table </w:t>
      </w:r>
      <w:r>
        <w:fldChar w:fldCharType="begin"/>
      </w:r>
      <w:r>
        <w:instrText xml:space="preserve"> SEQ Table \* ARABIC </w:instrText>
      </w:r>
      <w:r>
        <w:fldChar w:fldCharType="separate"/>
      </w:r>
      <w:r w:rsidR="001F4FCF">
        <w:rPr>
          <w:noProof/>
        </w:rPr>
        <w:t>1</w:t>
      </w:r>
      <w:r>
        <w:fldChar w:fldCharType="end"/>
      </w:r>
      <w:bookmarkEnd w:id="55"/>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EndPr/>
        <w:sdtContent>
          <w:r w:rsidR="00717E64">
            <w:fldChar w:fldCharType="begin"/>
          </w:r>
          <w:r w:rsidR="00717E64">
            <w:instrText xml:space="preserve"> CITATION San90 \l 2057 </w:instrText>
          </w:r>
          <w:r w:rsidR="00717E64">
            <w:fldChar w:fldCharType="separate"/>
          </w:r>
          <w:r w:rsidR="001F4FCF">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F4FCF">
        <w:t xml:space="preserve">Sample </w:t>
      </w:r>
      <w:r w:rsidR="001F4FCF">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6" w:name="_Ref270080747"/>
      <w:r>
        <w:t xml:space="preserve">Sample </w:t>
      </w:r>
      <w:r>
        <w:fldChar w:fldCharType="begin"/>
      </w:r>
      <w:r>
        <w:instrText xml:space="preserve"> SEQ Sample \* ARABIC </w:instrText>
      </w:r>
      <w:r>
        <w:fldChar w:fldCharType="separate"/>
      </w:r>
      <w:r w:rsidR="001F4FCF">
        <w:rPr>
          <w:noProof/>
        </w:rPr>
        <w:t>2</w:t>
      </w:r>
      <w:r>
        <w:fldChar w:fldCharType="end"/>
      </w:r>
      <w:bookmarkEnd w:id="56"/>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F4FCF">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F4FCF">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F4FCF">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F4FCF">
        <w:t>4.3</w:t>
      </w:r>
      <w:r w:rsidR="00364CBA">
        <w:fldChar w:fldCharType="end"/>
      </w:r>
      <w:r>
        <w:t>.</w:t>
      </w:r>
    </w:p>
    <w:p w:rsidR="00873E62" w:rsidRDefault="00DE3852" w:rsidP="00873E62">
      <w:pPr>
        <w:pStyle w:val="Heading2"/>
      </w:pPr>
      <w:bookmarkStart w:id="57" w:name="_Ref270083073"/>
      <w:bookmarkStart w:id="58" w:name="_Toc270439790"/>
      <w:r>
        <w:t>Recognition By Rule</w:t>
      </w:r>
      <w:bookmarkEnd w:id="57"/>
      <w:bookmarkEnd w:id="58"/>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EndPr/>
        <w:sdtContent>
          <w:r w:rsidR="00F9610F">
            <w:fldChar w:fldCharType="begin"/>
          </w:r>
          <w:r w:rsidR="00F9610F">
            <w:instrText xml:space="preserve"> CITATION Bir09 \l 2057 </w:instrText>
          </w:r>
          <w:r w:rsidR="00F9610F">
            <w:fldChar w:fldCharType="separate"/>
          </w:r>
          <w:r w:rsidR="001F4FCF">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F4FCF">
        <w:t xml:space="preserve">Sample </w:t>
      </w:r>
      <w:r w:rsidR="001F4FCF">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F4FCF">
        <w:t xml:space="preserve">Sample </w:t>
      </w:r>
      <w:r w:rsidR="001F4FCF">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59" w:name="_Ref270164724"/>
      <w:r>
        <w:t xml:space="preserve">Sample </w:t>
      </w:r>
      <w:r>
        <w:fldChar w:fldCharType="begin"/>
      </w:r>
      <w:r>
        <w:instrText xml:space="preserve"> SEQ Sample \* ARABIC </w:instrText>
      </w:r>
      <w:r>
        <w:fldChar w:fldCharType="separate"/>
      </w:r>
      <w:r w:rsidR="001F4FCF">
        <w:rPr>
          <w:noProof/>
        </w:rPr>
        <w:t>3</w:t>
      </w:r>
      <w:r>
        <w:fldChar w:fldCharType="end"/>
      </w:r>
      <w:bookmarkEnd w:id="59"/>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60" w:name="_Ref270082191"/>
      <w:r>
        <w:t>Simple Rule Files</w:t>
      </w:r>
      <w:bookmarkEnd w:id="60"/>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F4FCF">
        <w:t xml:space="preserve">Table </w:t>
      </w:r>
      <w:r w:rsidR="001F4FCF">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F4FCF">
        <w:t xml:space="preserve">Sample </w:t>
      </w:r>
      <w:r w:rsidR="001F4FCF">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F4FCF">
              <w:t xml:space="preserve">Table </w:t>
            </w:r>
            <w:r w:rsidR="001F4FCF">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1" w:name="_Ref270169329"/>
      <w:r>
        <w:t xml:space="preserve">Table </w:t>
      </w:r>
      <w:r w:rsidR="005175C7">
        <w:fldChar w:fldCharType="begin"/>
      </w:r>
      <w:r w:rsidR="005175C7">
        <w:instrText xml:space="preserve"> SEQ Table \* ARABIC </w:instrText>
      </w:r>
      <w:r w:rsidR="005175C7">
        <w:fldChar w:fldCharType="separate"/>
      </w:r>
      <w:r w:rsidR="001F4FCF">
        <w:rPr>
          <w:noProof/>
        </w:rPr>
        <w:t>2</w:t>
      </w:r>
      <w:r w:rsidR="005175C7">
        <w:fldChar w:fldCharType="end"/>
      </w:r>
      <w:bookmarkEnd w:id="61"/>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62" w:name="_Ref270170684"/>
      <w:r>
        <w:t xml:space="preserve">Sample </w:t>
      </w:r>
      <w:r>
        <w:fldChar w:fldCharType="begin"/>
      </w:r>
      <w:r>
        <w:instrText xml:space="preserve"> SEQ Sample \* ARABIC </w:instrText>
      </w:r>
      <w:r>
        <w:fldChar w:fldCharType="separate"/>
      </w:r>
      <w:r w:rsidR="001F4FCF">
        <w:rPr>
          <w:noProof/>
        </w:rPr>
        <w:t>4</w:t>
      </w:r>
      <w:r>
        <w:fldChar w:fldCharType="end"/>
      </w:r>
      <w:bookmarkEnd w:id="62"/>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F4FCF">
        <w:t xml:space="preserve">Sample </w:t>
      </w:r>
      <w:r w:rsidR="001F4FCF">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F4FCF">
        <w:t xml:space="preserve">Table </w:t>
      </w:r>
      <w:r w:rsidR="001F4FCF">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3" w:name="_Ref270091918"/>
      <w:bookmarkStart w:id="64" w:name="_Ref270092175"/>
      <w:r>
        <w:t xml:space="preserve">Table </w:t>
      </w:r>
      <w:r>
        <w:fldChar w:fldCharType="begin"/>
      </w:r>
      <w:r>
        <w:instrText xml:space="preserve"> SEQ Table \* ARABIC </w:instrText>
      </w:r>
      <w:r>
        <w:fldChar w:fldCharType="separate"/>
      </w:r>
      <w:r w:rsidR="001F4FCF">
        <w:rPr>
          <w:noProof/>
        </w:rPr>
        <w:t>3</w:t>
      </w:r>
      <w:r>
        <w:fldChar w:fldCharType="end"/>
      </w:r>
      <w:bookmarkEnd w:id="63"/>
      <w:r>
        <w:t xml:space="preserve"> - Accepted fields in rule block headers</w:t>
      </w:r>
      <w:bookmarkEnd w:id="64"/>
    </w:p>
    <w:p w:rsidR="00B51520" w:rsidRDefault="006C5E95" w:rsidP="00B51520">
      <w:r>
        <w:t xml:space="preserve">As shown </w:t>
      </w:r>
      <w:r>
        <w:fldChar w:fldCharType="begin"/>
      </w:r>
      <w:r>
        <w:instrText xml:space="preserve"> REF _Ref270092175 \p \h </w:instrText>
      </w:r>
      <w:r>
        <w:fldChar w:fldCharType="separate"/>
      </w:r>
      <w:r w:rsidR="001F4FCF">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65" w:name="_Ref270093042"/>
      <w:proofErr w:type="gramStart"/>
      <w:r>
        <w:t xml:space="preserve">Sample </w:t>
      </w:r>
      <w:r>
        <w:fldChar w:fldCharType="begin"/>
      </w:r>
      <w:r>
        <w:instrText xml:space="preserve"> SEQ Sample \* ARABIC </w:instrText>
      </w:r>
      <w:r>
        <w:fldChar w:fldCharType="separate"/>
      </w:r>
      <w:r w:rsidR="001F4FCF">
        <w:rPr>
          <w:noProof/>
        </w:rPr>
        <w:t>5</w:t>
      </w:r>
      <w:r>
        <w:fldChar w:fldCharType="end"/>
      </w:r>
      <w:bookmarkEnd w:id="65"/>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EndPr/>
        <w:sdtContent>
          <w:r>
            <w:fldChar w:fldCharType="begin"/>
          </w:r>
          <w:r>
            <w:instrText xml:space="preserve"> CITATION Ver05 \l 2057 </w:instrText>
          </w:r>
          <w:r>
            <w:fldChar w:fldCharType="separate"/>
          </w:r>
          <w:r w:rsidR="001F4FCF">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F4FCF">
        <w:t>5</w:t>
      </w:r>
      <w:r>
        <w:fldChar w:fldCharType="end"/>
      </w:r>
      <w:r>
        <w:t>.</w:t>
      </w:r>
    </w:p>
    <w:p w:rsidR="0065512A" w:rsidRDefault="00072F9B" w:rsidP="00873E62">
      <w:pPr>
        <w:pStyle w:val="Heading2"/>
      </w:pPr>
      <w:bookmarkStart w:id="66" w:name="_Ref270083084"/>
      <w:bookmarkStart w:id="67" w:name="_Toc270439791"/>
      <w:r>
        <w:t>Normalisation By Rule</w:t>
      </w:r>
      <w:bookmarkEnd w:id="66"/>
      <w:bookmarkEnd w:id="67"/>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w:t>
      </w:r>
      <w:r>
        <w:lastRenderedPageBreak/>
        <w:t xml:space="preserve">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 xml:space="preserve">to tag, however in recognition </w:t>
      </w:r>
      <w:proofErr w:type="gramStart"/>
      <w:r>
        <w:t>rules,</w:t>
      </w:r>
      <w:proofErr w:type="gramEnd"/>
      <w:r>
        <w:t xml:space="preserve"> the match groups defined in the regular expression are available to expressions which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F4FCF">
        <w:t xml:space="preserve">Sample </w:t>
      </w:r>
      <w:r w:rsidR="001F4FCF">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68" w:name="_Ref270249362"/>
      <w:r>
        <w:t xml:space="preserve">Sample </w:t>
      </w:r>
      <w:r>
        <w:fldChar w:fldCharType="begin"/>
      </w:r>
      <w:r>
        <w:instrText xml:space="preserve"> SEQ Sample \* ARABIC </w:instrText>
      </w:r>
      <w:r>
        <w:fldChar w:fldCharType="separate"/>
      </w:r>
      <w:r w:rsidR="001F4FCF">
        <w:rPr>
          <w:noProof/>
        </w:rPr>
        <w:t>6</w:t>
      </w:r>
      <w:r>
        <w:fldChar w:fldCharType="end"/>
      </w:r>
      <w:bookmarkEnd w:id="68"/>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for the token delimiters </w:t>
      </w:r>
      <w:proofErr w:type="spellStart"/>
      <w:r w:rsidR="00076193">
        <w:t>t</w:t>
      </w:r>
      <w:proofErr w:type="spellEnd"/>
      <w:r w:rsidR="00076193">
        <w:t xml:space="preserve"> be present.</w:t>
      </w:r>
    </w:p>
    <w:p w:rsidR="00FB03E9" w:rsidRDefault="00FB03E9" w:rsidP="009E524D">
      <w:r>
        <w:t xml:space="preserve">If the ordering pre-conditions </w:t>
      </w:r>
      <w:proofErr w:type="gramStart"/>
      <w:r>
        <w:t>pass,</w:t>
      </w:r>
      <w:proofErr w:type="gramEnd"/>
      <w:r>
        <w:t xml:space="preserve"> and the rule is 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F4FCF">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F4FCF">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1F4FCF">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F4FCF">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69" w:name="_Ref270250370"/>
      <w:r>
        <w:t>Normalisation Support Functions</w:t>
      </w:r>
      <w:bookmarkEnd w:id="69"/>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EndPr/>
        <w:sdtContent>
          <w:r>
            <w:fldChar w:fldCharType="begin"/>
          </w:r>
          <w:r>
            <w:instrText xml:space="preserve"> CITATION Ver05 \l 2057 </w:instrText>
          </w:r>
          <w:r>
            <w:fldChar w:fldCharType="separate"/>
          </w:r>
          <w:r w:rsidR="001F4FCF">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EndPr/>
        <w:sdtContent>
          <w:r w:rsidR="00401F2F">
            <w:fldChar w:fldCharType="begin"/>
          </w:r>
          <w:r w:rsidR="00401F2F">
            <w:instrText xml:space="preserve"> CITATION Ver05 \l 2057 </w:instrText>
          </w:r>
          <w:r w:rsidR="00401F2F">
            <w:fldChar w:fldCharType="separate"/>
          </w:r>
          <w:r w:rsidR="001F4FCF">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proofErr w:type="gramStart"/>
      <w:r w:rsidR="007A0911" w:rsidRPr="007A0911">
        <w:rPr>
          <w:rStyle w:val="Code"/>
        </w:rPr>
        <w:t>compute_offset_base</w:t>
      </w:r>
      <w:proofErr w:type="spellEnd"/>
      <w:proofErr w:type="gramEnd"/>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proofErr w:type="spellStart"/>
      <w:proofErr w:type="gramStart"/>
      <w:r>
        <w:t>etc</w:t>
      </w:r>
      <w:proofErr w:type="spellEnd"/>
      <w:r>
        <w:t>)</w:t>
      </w:r>
      <w:proofErr w:type="gramEnd"/>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extensively extended to handle </w:t>
      </w:r>
      <w:r w:rsidR="00A71DA5">
        <w:t>more expression</w:t>
      </w:r>
      <w:r w:rsidR="00627209">
        <w:t xml:space="preserve"> type</w:t>
      </w:r>
      <w:r w:rsidR="00A71DA5">
        <w:t>s</w:t>
      </w:r>
      <w:r>
        <w:t>.</w:t>
      </w:r>
      <w:proofErr w:type="gramEnd"/>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 xml:space="preserve">e.g., if a </w:t>
      </w:r>
      <w:r w:rsidR="00893A49">
        <w:lastRenderedPageBreak/>
        <w:t>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are found the </w:t>
      </w:r>
      <w:proofErr w:type="spellStart"/>
      <w:r w:rsidR="00076B91">
        <w:t>the</w:t>
      </w:r>
      <w:proofErr w:type="spellEnd"/>
      <w:r w:rsidR="00076B91">
        <w:t xml:space="preserv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EndPr/>
        <w:sdtContent>
          <w:r>
            <w:fldChar w:fldCharType="begin"/>
          </w:r>
          <w:r>
            <w:instrText xml:space="preserve"> CITATION Ver05 \l 2057 </w:instrText>
          </w:r>
          <w:r>
            <w:fldChar w:fldCharType="separate"/>
          </w:r>
          <w:r w:rsidR="001F4FCF">
            <w:rPr>
              <w:noProof/>
            </w:rPr>
            <w:t>(Verhagen, et al., 2005)</w:t>
          </w:r>
          <w:r>
            <w:fldChar w:fldCharType="end"/>
          </w:r>
        </w:sdtContent>
      </w:sdt>
      <w:r>
        <w:t xml:space="preserve">, but small tweaks have been made to capture some generalities between rules the original Perl did not capture.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1F4FCF">
        <w:t xml:space="preserve">Sample </w:t>
      </w:r>
      <w:r w:rsidR="001F4FCF">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70" w:name="_Ref270352805"/>
      <w:r>
        <w:t xml:space="preserve">Sample </w:t>
      </w:r>
      <w:r>
        <w:fldChar w:fldCharType="begin"/>
      </w:r>
      <w:r>
        <w:instrText xml:space="preserve"> SEQ Sample \* ARABIC </w:instrText>
      </w:r>
      <w:r>
        <w:fldChar w:fldCharType="separate"/>
      </w:r>
      <w:r w:rsidR="001F4FCF">
        <w:rPr>
          <w:noProof/>
        </w:rPr>
        <w:t>8</w:t>
      </w:r>
      <w:r>
        <w:fldChar w:fldCharType="end"/>
      </w:r>
      <w:bookmarkEnd w:id="70"/>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1F4FCF">
        <w:t xml:space="preserve">Sample </w:t>
      </w:r>
      <w:r w:rsidR="001F4FCF">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1F4FCF">
        <w:t>5</w:t>
      </w:r>
      <w:r>
        <w:fldChar w:fldCharType="end"/>
      </w:r>
      <w:r>
        <w:t>.</w:t>
      </w:r>
    </w:p>
    <w:p w:rsidR="0065512A" w:rsidRDefault="00072F9B" w:rsidP="00ED5A76">
      <w:pPr>
        <w:pStyle w:val="Heading2"/>
      </w:pPr>
      <w:bookmarkStart w:id="71" w:name="_Ref270081455"/>
      <w:bookmarkStart w:id="72" w:name="_Ref270081470"/>
      <w:bookmarkStart w:id="73" w:name="_Ref270082008"/>
      <w:bookmarkStart w:id="74" w:name="_Toc270439792"/>
      <w:r>
        <w:t>Document Formats</w:t>
      </w:r>
      <w:bookmarkEnd w:id="71"/>
      <w:bookmarkEnd w:id="72"/>
      <w:bookmarkEnd w:id="73"/>
      <w:bookmarkEnd w:id="74"/>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1F4FCF">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proofErr w:type="gramStart"/>
      <w:r w:rsidR="009619DA">
        <w:t>package which</w:t>
      </w:r>
      <w:proofErr w:type="gramEnd"/>
      <w:r w:rsidR="009619DA">
        <w:t xml:space="preserve"> implement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EndPr/>
        <w:sdtContent>
          <w:r w:rsidR="00F62D76">
            <w:fldChar w:fldCharType="begin"/>
          </w:r>
          <w:r w:rsidR="00F62D76">
            <w:instrText xml:space="preserve">CITATION Pus09 \t  \l 2057 </w:instrText>
          </w:r>
          <w:r w:rsidR="00F62D76">
            <w:fldChar w:fldCharType="separate"/>
          </w:r>
          <w:r w:rsidR="001F4FCF">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EndPr/>
        <w:sdtContent>
          <w:r>
            <w:fldChar w:fldCharType="begin"/>
          </w:r>
          <w:r>
            <w:instrText xml:space="preserve"> CITATION Lis01 \l 2057 </w:instrText>
          </w:r>
          <w:r>
            <w:fldChar w:fldCharType="separate"/>
          </w:r>
          <w:r w:rsidR="001F4FCF">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1F4FCF">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lastRenderedPageBreak/>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EndPr/>
        <w:sdtContent>
          <w:r>
            <w:fldChar w:fldCharType="begin"/>
          </w:r>
          <w:r>
            <w:instrText xml:space="preserve"> CITATION Bir09 \l 2057 </w:instrText>
          </w:r>
          <w:r>
            <w:fldChar w:fldCharType="separate"/>
          </w:r>
          <w:r w:rsidR="001F4FCF">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proofErr w:type="gramStart"/>
      <w:r>
        <w:t>and also</w:t>
      </w:r>
      <w:proofErr w:type="gramEnd"/>
      <w:r>
        <w:t xml:space="preserve"> for conversion between types.</w:t>
      </w:r>
    </w:p>
    <w:p w:rsidR="0046386B" w:rsidRDefault="00092057" w:rsidP="008E6DD9">
      <w:r>
        <w:t xml:space="preserve">The Document Object Model </w:t>
      </w:r>
      <w:sdt>
        <w:sdtPr>
          <w:id w:val="-1726596247"/>
          <w:citation/>
        </w:sdtPr>
        <w:sdtEndPr/>
        <w:sdtContent>
          <w:r>
            <w:fldChar w:fldCharType="begin"/>
          </w:r>
          <w:r>
            <w:instrText xml:space="preserve"> CITATION App98 \l 2057 </w:instrText>
          </w:r>
          <w:r>
            <w:fldChar w:fldCharType="separate"/>
          </w:r>
          <w:r w:rsidR="001F4FCF">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1F4FCF">
        <w:t xml:space="preserve">Figure </w:t>
      </w:r>
      <w:r w:rsidR="001F4FCF">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 xml:space="preserve">uments from the internal format (with optional token </w:t>
      </w:r>
      <w:r w:rsidR="00C15C36">
        <w:lastRenderedPageBreak/>
        <w:t>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1"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181665" r:id="rId22"/>
        </w:object>
      </w:r>
    </w:p>
    <w:p w:rsidR="00092057" w:rsidRDefault="009D6096" w:rsidP="009D6096">
      <w:pPr>
        <w:pStyle w:val="Caption"/>
        <w:jc w:val="center"/>
      </w:pPr>
      <w:bookmarkStart w:id="75" w:name="_Ref270431706"/>
      <w:r>
        <w:t xml:space="preserve">Figure </w:t>
      </w:r>
      <w:r>
        <w:fldChar w:fldCharType="begin"/>
      </w:r>
      <w:r>
        <w:instrText xml:space="preserve"> SEQ Figure \* ARABIC </w:instrText>
      </w:r>
      <w:r>
        <w:fldChar w:fldCharType="separate"/>
      </w:r>
      <w:r w:rsidR="001F4FCF">
        <w:rPr>
          <w:noProof/>
        </w:rPr>
        <w:t>1</w:t>
      </w:r>
      <w:r>
        <w:fldChar w:fldCharType="end"/>
      </w:r>
      <w:bookmarkEnd w:id="75"/>
      <w:r>
        <w:t xml:space="preserve"> - Structure of ternip.formats package</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EndPr/>
        <w:sdtContent>
          <w:r>
            <w:fldChar w:fldCharType="begin"/>
          </w:r>
          <w:r>
            <w:instrText xml:space="preserve"> CITATION Ver05 \l 2057 </w:instrText>
          </w:r>
          <w:r>
            <w:fldChar w:fldCharType="separate"/>
          </w:r>
          <w:r w:rsidR="001F4FCF">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bookmarkStart w:id="76" w:name="_GoBack"/>
      <w:bookmarkEnd w:id="76"/>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7" w:name="_Ref270176962"/>
      <w:bookmarkStart w:id="78" w:name="_Toc270439793"/>
      <w:r>
        <w:lastRenderedPageBreak/>
        <w:t>Evaluation</w:t>
      </w:r>
      <w:bookmarkEnd w:id="77"/>
      <w:bookmarkEnd w:id="78"/>
    </w:p>
    <w:p w:rsidR="000104F4" w:rsidRDefault="000104F4" w:rsidP="00DC59F0">
      <w:pPr>
        <w:pStyle w:val="Heading2"/>
      </w:pPr>
      <w:bookmarkStart w:id="79" w:name="_Toc270439794"/>
      <w:r>
        <w:t>Software Verification</w:t>
      </w:r>
      <w:bookmarkEnd w:id="79"/>
    </w:p>
    <w:p w:rsidR="000104F4" w:rsidRDefault="000104F4" w:rsidP="00DC59F0">
      <w:r>
        <w:t>Talk about unit testing</w:t>
      </w:r>
    </w:p>
    <w:p w:rsidR="000104F4" w:rsidRDefault="000104F4" w:rsidP="00DC59F0">
      <w:pPr>
        <w:pStyle w:val="Heading2"/>
      </w:pPr>
      <w:bookmarkStart w:id="80" w:name="_Toc270439795"/>
      <w:r>
        <w:t>Performance Evaluation</w:t>
      </w:r>
      <w:bookmarkEnd w:id="80"/>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81" w:name="_Ref270432977"/>
      <w:bookmarkStart w:id="82" w:name="_Toc270439796"/>
      <w:r>
        <w:lastRenderedPageBreak/>
        <w:t>Discussion</w:t>
      </w:r>
      <w:bookmarkEnd w:id="81"/>
      <w:bookmarkEnd w:id="82"/>
    </w:p>
    <w:p w:rsidR="001E3E3B" w:rsidRDefault="001E3E3B" w:rsidP="001E3E3B">
      <w:r>
        <w:t>Things to cover include:</w:t>
      </w:r>
    </w:p>
    <w:p w:rsidR="001D25EF" w:rsidRDefault="001D25EF" w:rsidP="00D36E6B">
      <w:pPr>
        <w:pStyle w:val="ListParagraph"/>
        <w:numPr>
          <w:ilvl w:val="0"/>
          <w:numId w:val="5"/>
        </w:numPr>
      </w:pPr>
      <w:r>
        <w:t xml:space="preserve">Criticism of GUTime – not really ported to TIMEX3 well (VAL vs. VALUE, </w:t>
      </w:r>
      <w:proofErr w:type="spellStart"/>
      <w:r>
        <w:t>etc</w:t>
      </w:r>
      <w:proofErr w:type="spellEnd"/>
      <w:r>
        <w:t>)</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 xml:space="preserve">How corpora suck in terms of XML. TERN problematic particularly because it’s SGML, so XML parser sometimes struggles. Others have S, LEX, </w:t>
      </w:r>
      <w:proofErr w:type="spellStart"/>
      <w:r>
        <w:t>etc</w:t>
      </w:r>
      <w:proofErr w:type="spellEnd"/>
      <w:r>
        <w:t xml:space="preserve">, tags, mixed in with </w:t>
      </w:r>
      <w:proofErr w:type="gramStart"/>
      <w:r>
        <w:t>TimeML which</w:t>
      </w:r>
      <w:proofErr w:type="gramEnd"/>
      <w:r>
        <w:t xml:space="preserve">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3" w:name="_Toc270439797" w:displacedByCustomXml="next"/>
    <w:sdt>
      <w:sdtPr>
        <w:rPr>
          <w:smallCaps w:val="0"/>
          <w:spacing w:val="0"/>
          <w:sz w:val="24"/>
          <w:szCs w:val="20"/>
        </w:rPr>
        <w:id w:val="494819507"/>
        <w:docPartObj>
          <w:docPartGallery w:val="Bibliographies"/>
          <w:docPartUnique/>
        </w:docPartObj>
      </w:sdtPr>
      <w:sdtEndPr/>
      <w:sdtContent>
        <w:bookmarkStart w:id="84" w:name="_Toc261719408" w:displacedByCustomXml="prev"/>
        <w:bookmarkStart w:id="85" w:name="_Toc261719354" w:displacedByCustomXml="prev"/>
        <w:bookmarkStart w:id="86" w:name="_Toc261719277" w:displacedByCustomXml="prev"/>
        <w:p w:rsidR="00AA1B5D" w:rsidRDefault="00AA1B5D">
          <w:pPr>
            <w:pStyle w:val="Heading1"/>
          </w:pPr>
          <w:r>
            <w:t>Bibliography</w:t>
          </w:r>
          <w:bookmarkEnd w:id="83"/>
          <w:bookmarkEnd w:id="86"/>
          <w:bookmarkEnd w:id="85"/>
          <w:bookmarkEnd w:id="84"/>
        </w:p>
        <w:sdt>
          <w:sdtPr>
            <w:id w:val="111145805"/>
            <w:bibliography/>
          </w:sdtPr>
          <w:sdtEndPr/>
          <w:sdtContent>
            <w:p w:rsidR="001F4FCF" w:rsidRDefault="00B225E2" w:rsidP="001F4FCF">
              <w:pPr>
                <w:pStyle w:val="Bibliography"/>
                <w:ind w:left="720" w:hanging="720"/>
                <w:rPr>
                  <w:noProof/>
                </w:rPr>
              </w:pPr>
              <w:r>
                <w:fldChar w:fldCharType="begin"/>
              </w:r>
              <w:r w:rsidR="00AA1B5D">
                <w:instrText xml:space="preserve"> BIBLIOGRAPHY </w:instrText>
              </w:r>
              <w:r>
                <w:fldChar w:fldCharType="separate"/>
              </w:r>
              <w:r w:rsidR="001F4FCF">
                <w:rPr>
                  <w:noProof/>
                </w:rPr>
                <w:t xml:space="preserve">Ahn, D., Adafre, S. F., &amp; de Rijke, M. (2005). Recognizing and Interpreting Temporal Expressions in Open Domain Texts. In S. N. Artëmov, H. Barringer, A. S. d'Avila Garcez, L. C. Lamb, &amp; J. Woods (Eds.), </w:t>
              </w:r>
              <w:r w:rsidR="001F4FCF">
                <w:rPr>
                  <w:i/>
                  <w:iCs/>
                  <w:noProof/>
                </w:rPr>
                <w:t>We Will Show Them: Essays in Honour of Dov Gabbay</w:t>
              </w:r>
              <w:r w:rsidR="001F4FCF">
                <w:rPr>
                  <w:noProof/>
                </w:rPr>
                <w:t xml:space="preserve"> (Vol. 1, pp. 31-50). College Publications.</w:t>
              </w:r>
            </w:p>
            <w:p w:rsidR="001F4FCF" w:rsidRDefault="001F4FCF" w:rsidP="001F4FCF">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F4FCF" w:rsidRDefault="001F4FCF" w:rsidP="001F4FCF">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1F4FCF" w:rsidRDefault="001F4FCF" w:rsidP="001F4FCF">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F4FCF" w:rsidRDefault="001F4FCF" w:rsidP="001F4FCF">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F4FCF" w:rsidRDefault="001F4FCF" w:rsidP="001F4FCF">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F4FCF" w:rsidRDefault="001F4FCF" w:rsidP="001F4FCF">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F4FCF" w:rsidRDefault="001F4FCF" w:rsidP="001F4FCF">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F4FCF" w:rsidRDefault="001F4FCF" w:rsidP="001F4FCF">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F4FCF" w:rsidRDefault="001F4FCF" w:rsidP="001F4FCF">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F4FCF" w:rsidRDefault="001F4FCF" w:rsidP="001F4FCF">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F4FCF" w:rsidRDefault="001F4FCF" w:rsidP="001F4FCF">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F4FCF" w:rsidRDefault="001F4FCF" w:rsidP="001F4FCF">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F4FCF" w:rsidRDefault="001F4FCF" w:rsidP="001F4FCF">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1F4FCF" w:rsidRDefault="001F4FCF" w:rsidP="001F4FCF">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F4FCF" w:rsidRDefault="001F4FCF" w:rsidP="001F4FCF">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F4FCF" w:rsidRDefault="001F4FCF" w:rsidP="001F4FCF">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F4FCF" w:rsidRDefault="001F4FCF" w:rsidP="001F4FCF">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F4FCF" w:rsidRDefault="001F4FCF" w:rsidP="001F4FCF">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F4FCF" w:rsidRDefault="001F4FCF" w:rsidP="001F4FCF">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F4FCF" w:rsidRDefault="001F4FCF" w:rsidP="001F4FCF">
              <w:pPr>
                <w:pStyle w:val="Bibliography"/>
                <w:ind w:left="720" w:hanging="720"/>
                <w:rPr>
                  <w:noProof/>
                </w:rPr>
              </w:pPr>
              <w:r>
                <w:rPr>
                  <w:noProof/>
                </w:rPr>
                <w:t>Pustejovsky, J., Verhagen, M., Sauri, R., Littman, J., Gaizauskas, R., Katz, G., et al. (2006, April 17). TimeBank 1.2. Philadelphia: Linguistic Data Consortium.</w:t>
              </w:r>
            </w:p>
            <w:p w:rsidR="001F4FCF" w:rsidRDefault="001F4FCF" w:rsidP="001F4FCF">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F4FCF" w:rsidRDefault="001F4FCF" w:rsidP="001F4FCF">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F4FCF" w:rsidRDefault="001F4FCF" w:rsidP="001F4FCF">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F4FCF" w:rsidRDefault="001F4FCF" w:rsidP="001F4FCF">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F4FCF" w:rsidRDefault="001F4FCF" w:rsidP="001F4FCF">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1F4FCF" w:rsidRDefault="001F4FCF" w:rsidP="001F4FCF">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1F4FCF" w:rsidRDefault="001F4FCF" w:rsidP="001F4FCF">
              <w:pPr>
                <w:pStyle w:val="Bibliography"/>
                <w:ind w:left="720" w:hanging="720"/>
                <w:rPr>
                  <w:noProof/>
                </w:rPr>
              </w:pPr>
              <w:r>
                <w:rPr>
                  <w:noProof/>
                </w:rPr>
                <w:t>Verhagen, M., &amp; Moszkowicz, J. (2008, January). AQUAINT TimeML 1.0 Corpus. Brandeis University.</w:t>
              </w:r>
            </w:p>
            <w:p w:rsidR="001F4FCF" w:rsidRDefault="001F4FCF" w:rsidP="001F4FCF">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F4FCF">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49D" w:rsidRDefault="00CA449D" w:rsidP="008873C3">
      <w:pPr>
        <w:spacing w:after="0" w:line="240" w:lineRule="auto"/>
      </w:pPr>
      <w:r>
        <w:separator/>
      </w:r>
    </w:p>
    <w:p w:rsidR="00CA449D" w:rsidRDefault="00CA449D"/>
  </w:endnote>
  <w:endnote w:type="continuationSeparator" w:id="0">
    <w:p w:rsidR="00CA449D" w:rsidRDefault="00CA449D" w:rsidP="008873C3">
      <w:pPr>
        <w:spacing w:after="0" w:line="240" w:lineRule="auto"/>
      </w:pPr>
      <w:r>
        <w:continuationSeparator/>
      </w:r>
    </w:p>
    <w:p w:rsidR="00CA449D" w:rsidRDefault="00CA4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F448C7" w:rsidRDefault="00CA449D">
        <w:pPr>
          <w:pStyle w:val="Footer"/>
          <w:jc w:val="center"/>
        </w:pPr>
      </w:p>
    </w:sdtContent>
  </w:sdt>
  <w:p w:rsidR="00F448C7" w:rsidRDefault="00F44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F448C7" w:rsidRDefault="00F448C7" w:rsidP="000E557A">
        <w:pPr>
          <w:pStyle w:val="Footer"/>
          <w:jc w:val="center"/>
        </w:pPr>
        <w:r>
          <w:fldChar w:fldCharType="begin"/>
        </w:r>
        <w:r>
          <w:instrText xml:space="preserve"> PAGE   \* MERGEFORMAT </w:instrText>
        </w:r>
        <w:r>
          <w:fldChar w:fldCharType="separate"/>
        </w:r>
        <w:r w:rsidR="001F4FCF">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F448C7" w:rsidRDefault="00F448C7" w:rsidP="00064F31">
        <w:pPr>
          <w:pStyle w:val="Footer"/>
          <w:jc w:val="center"/>
        </w:pPr>
        <w:r>
          <w:fldChar w:fldCharType="begin"/>
        </w:r>
        <w:r>
          <w:instrText xml:space="preserve"> PAGE   \* MERGEFORMAT </w:instrText>
        </w:r>
        <w:r>
          <w:fldChar w:fldCharType="separate"/>
        </w:r>
        <w:r w:rsidR="001F4FCF">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F448C7" w:rsidRDefault="00F448C7" w:rsidP="000E557A">
        <w:pPr>
          <w:pStyle w:val="Footer"/>
          <w:jc w:val="center"/>
        </w:pPr>
        <w:r>
          <w:fldChar w:fldCharType="begin"/>
        </w:r>
        <w:r>
          <w:instrText xml:space="preserve"> PAGE   \* MERGEFORMAT </w:instrText>
        </w:r>
        <w:r>
          <w:fldChar w:fldCharType="separate"/>
        </w:r>
        <w:r w:rsidR="001F4FCF">
          <w:rPr>
            <w:noProof/>
          </w:rPr>
          <w:t>31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F448C7" w:rsidRDefault="00F448C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448C7" w:rsidRDefault="00F448C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EndPr/>
    <w:sdtContent>
      <w:p w:rsidR="00F448C7" w:rsidRDefault="00F448C7" w:rsidP="000E557A">
        <w:pPr>
          <w:pStyle w:val="Footer"/>
          <w:jc w:val="center"/>
        </w:pPr>
        <w:r>
          <w:fldChar w:fldCharType="begin"/>
        </w:r>
        <w:r>
          <w:instrText xml:space="preserve"> PAGE   \* MERGEFORMAT </w:instrText>
        </w:r>
        <w:r>
          <w:fldChar w:fldCharType="separate"/>
        </w:r>
        <w:r w:rsidR="001F4FCF">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49D" w:rsidRDefault="00CA449D" w:rsidP="008873C3">
      <w:pPr>
        <w:spacing w:after="0" w:line="240" w:lineRule="auto"/>
      </w:pPr>
      <w:r>
        <w:separator/>
      </w:r>
    </w:p>
    <w:p w:rsidR="00CA449D" w:rsidRDefault="00CA449D"/>
  </w:footnote>
  <w:footnote w:type="continuationSeparator" w:id="0">
    <w:p w:rsidR="00CA449D" w:rsidRDefault="00CA449D" w:rsidP="008873C3">
      <w:pPr>
        <w:spacing w:after="0" w:line="240" w:lineRule="auto"/>
      </w:pPr>
      <w:r>
        <w:continuationSeparator/>
      </w:r>
    </w:p>
    <w:p w:rsidR="00CA449D" w:rsidRDefault="00CA44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CA449D"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448C7">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CA449D"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448C7">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CA449D"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448C7">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CA449D"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448C7">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76B91"/>
    <w:rsid w:val="000840FB"/>
    <w:rsid w:val="00085F93"/>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435"/>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05A"/>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4FAA"/>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4E"/>
    <w:rsid w:val="003F5174"/>
    <w:rsid w:val="003F5640"/>
    <w:rsid w:val="003F7B62"/>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71C6"/>
    <w:rsid w:val="005272A4"/>
    <w:rsid w:val="00527465"/>
    <w:rsid w:val="005315AE"/>
    <w:rsid w:val="00533224"/>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665"/>
    <w:rsid w:val="005947D2"/>
    <w:rsid w:val="005951A8"/>
    <w:rsid w:val="00595342"/>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43AC"/>
    <w:rsid w:val="006270E6"/>
    <w:rsid w:val="00627209"/>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41140"/>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37BC"/>
    <w:rsid w:val="00C24218"/>
    <w:rsid w:val="00C24D31"/>
    <w:rsid w:val="00C26455"/>
    <w:rsid w:val="00C2732A"/>
    <w:rsid w:val="00C3352F"/>
    <w:rsid w:val="00C34010"/>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55C9"/>
    <w:rsid w:val="00E87C5D"/>
    <w:rsid w:val="00E931F2"/>
    <w:rsid w:val="00E97775"/>
    <w:rsid w:val="00EA0E96"/>
    <w:rsid w:val="00EA108D"/>
    <w:rsid w:val="00EA3C2D"/>
    <w:rsid w:val="00EA60BD"/>
    <w:rsid w:val="00EB31AF"/>
    <w:rsid w:val="00EB5DC6"/>
    <w:rsid w:val="00EB6681"/>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2D6"/>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266E6-4D3C-452B-93B5-66B3DAB4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12820</Words>
  <Characters>73080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85729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142</cp:revision>
  <cp:lastPrinted>2010-05-13T14:30:00Z</cp:lastPrinted>
  <dcterms:created xsi:type="dcterms:W3CDTF">2010-08-18T14:38:00Z</dcterms:created>
  <dcterms:modified xsi:type="dcterms:W3CDTF">2010-08-24T18:01:00Z</dcterms:modified>
</cp:coreProperties>
</file>