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D26777" w:rsidRDefault="00D26777" w:rsidP="001C6944">
          <w:pPr>
            <w:sectPr w:rsidR="00D26777" w:rsidSect="00DC59F0">
              <w:footerReference w:type="even" r:id="rId10"/>
              <w:footerReference w:type="first" r:id="rId11"/>
              <w:pgSz w:w="11907" w:h="16840" w:code="9"/>
              <w:pgMar w:top="1134" w:right="1418" w:bottom="1134" w:left="2098" w:header="709" w:footer="709" w:gutter="0"/>
              <w:cols w:space="708"/>
              <w:docGrid w:linePitch="360"/>
            </w:sectPr>
          </w:pPr>
        </w:p>
        <w:p w:rsidR="001C6944" w:rsidRDefault="001C6944" w:rsidP="001C6944">
          <w:r>
            <w:lastRenderedPageBreak/>
            <w:t xml:space="preserve">All sentences or passages quoted in this dissertation from other people's work have been specifically acknowledged by clear cross-referencing to author, </w:t>
          </w:r>
          <w:proofErr w:type="gramStart"/>
          <w:r>
            <w:t>work</w:t>
          </w:r>
          <w:proofErr w:type="gramEnd"/>
          <w:r>
            <w:t xml:space="preserve">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5D737C">
          <w:headerReference w:type="even" r:id="rId12"/>
          <w:footerReference w:type="even" r:id="rId13"/>
          <w:pgSz w:w="11907" w:h="16840" w:code="9"/>
          <w:pgMar w:top="1134" w:right="1418" w:bottom="1134" w:left="2098" w:header="709" w:footer="709" w:gutter="0"/>
          <w:cols w:space="708"/>
          <w:vAlign w:val="center"/>
          <w:docGrid w:linePitch="360"/>
        </w:sectPr>
      </w:pPr>
    </w:p>
    <w:p w:rsidR="00064F31" w:rsidRDefault="00064F31" w:rsidP="009E4A61">
      <w:pPr>
        <w:pStyle w:val="Heading1nonumbering"/>
        <w:jc w:val="center"/>
      </w:pPr>
      <w:bookmarkStart w:id="0" w:name="_Toc261719263"/>
      <w:bookmarkStart w:id="1" w:name="_Toc261719328"/>
      <w:r>
        <w:lastRenderedPageBreak/>
        <w:t>Abstract</w:t>
      </w:r>
    </w:p>
    <w:p w:rsidR="00EA4A36" w:rsidRDefault="00EA4A36" w:rsidP="00EA4A36"/>
    <w:p w:rsidR="00FA4386" w:rsidRDefault="003F5136" w:rsidP="00064F31">
      <w:r>
        <w:t xml:space="preserve">This dissertation presents TERNIP (Temporal Expression Recognition and Normalisation in Python), a system for recognition of temporal expressions in text and normalisation of those expressions to a concrete date and time. TERNIP is modular and agnostic to output format, supporting both TIMEX2 </w:t>
      </w:r>
      <w:sdt>
        <w:sdtPr>
          <w:id w:val="-1885630445"/>
          <w:citation/>
        </w:sdtPr>
        <w:sdtContent>
          <w:r>
            <w:fldChar w:fldCharType="begin"/>
          </w:r>
          <w:r>
            <w:instrText xml:space="preserve"> CITATION Lis01 \l 2057 </w:instrText>
          </w:r>
          <w:r>
            <w:fldChar w:fldCharType="separate"/>
          </w:r>
          <w:r w:rsidR="00B1472A">
            <w:rPr>
              <w:noProof/>
            </w:rPr>
            <w:t>(Ferro, Mani, Sundheim, &amp; Wilson, 2001)</w:t>
          </w:r>
          <w:r>
            <w:fldChar w:fldCharType="end"/>
          </w:r>
        </w:sdtContent>
      </w:sdt>
      <w:r>
        <w:t xml:space="preserve"> and TimeML </w:t>
      </w:r>
      <w:sdt>
        <w:sdtPr>
          <w:id w:val="-1695137840"/>
          <w:citation/>
        </w:sdtPr>
        <w:sdtContent>
          <w:r>
            <w:fldChar w:fldCharType="begin"/>
          </w:r>
          <w:r>
            <w:instrText xml:space="preserve"> CITATION Pus03 \l 2057 </w:instrText>
          </w:r>
          <w:r>
            <w:fldChar w:fldCharType="separate"/>
          </w:r>
          <w:r w:rsidR="00B1472A">
            <w:rPr>
              <w:noProof/>
            </w:rPr>
            <w:t>(Pustejovsky, et al., 2003)</w:t>
          </w:r>
          <w:r>
            <w:fldChar w:fldCharType="end"/>
          </w:r>
        </w:sdtContent>
      </w:sdt>
      <w:r>
        <w:t xml:space="preserve"> standards. Recognition and normalisation is implemented using a rule engine and rule set converted from the GUTime tool </w:t>
      </w:r>
      <w:sdt>
        <w:sdtPr>
          <w:id w:val="-918863102"/>
          <w:citation/>
        </w:sdtPr>
        <w:sdtContent>
          <w:r>
            <w:fldChar w:fldCharType="begin"/>
          </w:r>
          <w:r>
            <w:instrText xml:space="preserve"> CITATION Ver05 \l 2057 </w:instrText>
          </w:r>
          <w:r>
            <w:fldChar w:fldCharType="separate"/>
          </w:r>
          <w:r w:rsidR="00B1472A">
            <w:rPr>
              <w:noProof/>
            </w:rPr>
            <w:t>(Verhagen, et al., 2005)</w:t>
          </w:r>
          <w:r>
            <w:fldChar w:fldCharType="end"/>
          </w:r>
        </w:sdtContent>
      </w:sdt>
      <w:r>
        <w:t xml:space="preserve">, which scores an f-measure for recognition of 0.72 and 0.83 for normalisation against the TERN </w:t>
      </w:r>
      <w:sdt>
        <w:sdtPr>
          <w:id w:val="-2029401478"/>
          <w:citation/>
        </w:sdtPr>
        <w:sdtContent>
          <w:r>
            <w:fldChar w:fldCharType="begin"/>
          </w:r>
          <w:r>
            <w:instrText xml:space="preserve"> CITATION MIT04 \l 2057 </w:instrText>
          </w:r>
          <w:r>
            <w:fldChar w:fldCharType="separate"/>
          </w:r>
          <w:r w:rsidR="00B1472A">
            <w:rPr>
              <w:noProof/>
            </w:rPr>
            <w:t>(MITRE, 2004)</w:t>
          </w:r>
          <w:r>
            <w:fldChar w:fldCharType="end"/>
          </w:r>
        </w:sdtContent>
      </w:sdt>
      <w:r w:rsidR="00FA4386">
        <w:t xml:space="preserve"> corpus, comparable to the performance of GUTime. This modular nature of TERNIP encourages the creation of future robust annotation modules.</w:t>
      </w:r>
    </w:p>
    <w:p w:rsidR="005D667D" w:rsidRDefault="005D667D" w:rsidP="00064F31"/>
    <w:p w:rsidR="00D26777" w:rsidRDefault="00D26777" w:rsidP="005D667D">
      <w:pPr>
        <w:pStyle w:val="Heading1nonumbering"/>
        <w:sectPr w:rsidR="00D26777" w:rsidSect="005D737C">
          <w:headerReference w:type="default" r:id="rId14"/>
          <w:footerReference w:type="default" r:id="rId15"/>
          <w:pgSz w:w="11907" w:h="16840" w:code="9"/>
          <w:pgMar w:top="1134" w:right="1418" w:bottom="1134" w:left="2098" w:header="709" w:footer="709" w:gutter="0"/>
          <w:pgNumType w:fmt="lowerRoman" w:start="1"/>
          <w:cols w:space="708"/>
          <w:vAlign w:val="center"/>
          <w:docGrid w:linePitch="360"/>
        </w:sectPr>
      </w:pPr>
    </w:p>
    <w:p w:rsidR="00064F31" w:rsidRDefault="005D667D" w:rsidP="009E4A61">
      <w:pPr>
        <w:pStyle w:val="Heading1nonumbering"/>
        <w:jc w:val="center"/>
      </w:pPr>
      <w:r>
        <w:lastRenderedPageBreak/>
        <w:t>Acknowledgements</w:t>
      </w:r>
    </w:p>
    <w:p w:rsidR="00EA4A36" w:rsidRDefault="00EA4A36" w:rsidP="00EA4A36"/>
    <w:p w:rsidR="005D667D" w:rsidRDefault="005D667D" w:rsidP="009E4A61">
      <w:r>
        <w:t xml:space="preserve">I would like to thank my project supervisor, Dr Mark Hepple, for his invaluable advice and guidance in implementation of the TERNIP tool, and Lyndsey Redpath </w:t>
      </w:r>
      <w:proofErr w:type="gramStart"/>
      <w:r>
        <w:t>for</w:t>
      </w:r>
      <w:proofErr w:type="gramEnd"/>
      <w:r>
        <w:t xml:space="preserve"> her </w:t>
      </w:r>
      <w:r w:rsidR="00A75520">
        <w:t>many</w:t>
      </w:r>
      <w:r>
        <w:t xml:space="preserve"> hours</w:t>
      </w:r>
      <w:r w:rsidR="009E4A61">
        <w:t xml:space="preserve"> spent</w:t>
      </w:r>
      <w:r>
        <w:t xml:space="preserve"> proof reading the final report.</w:t>
      </w:r>
    </w:p>
    <w:p w:rsidR="005D667D" w:rsidRDefault="005D667D" w:rsidP="005D667D">
      <w:pPr>
        <w:sectPr w:rsidR="005D667D" w:rsidSect="005D737C">
          <w:footerReference w:type="even" r:id="rId16"/>
          <w:pgSz w:w="11907" w:h="16840" w:code="9"/>
          <w:pgMar w:top="1134" w:right="1418" w:bottom="1134" w:left="2098" w:header="709" w:footer="709" w:gutter="0"/>
          <w:pgNumType w:fmt="lowerRoman"/>
          <w:cols w:space="708"/>
          <w:vAlign w:val="center"/>
          <w:docGrid w:linePitch="360"/>
        </w:sectPr>
      </w:pPr>
      <w:bookmarkStart w:id="2" w:name="_GoBack"/>
      <w:bookmarkEnd w:id="2"/>
    </w:p>
    <w:p w:rsidR="00D313AD" w:rsidRDefault="00D313AD" w:rsidP="00F73B44">
      <w:pPr>
        <w:pStyle w:val="Heading1nonumbering"/>
      </w:pPr>
      <w:r>
        <w:lastRenderedPageBreak/>
        <w:t>Table Of Contents</w:t>
      </w:r>
      <w:bookmarkEnd w:id="0"/>
      <w:bookmarkEnd w:id="1"/>
    </w:p>
    <w:p w:rsidR="00B1472A"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614677" w:history="1">
        <w:r w:rsidR="00B1472A" w:rsidRPr="00657846">
          <w:rPr>
            <w:rStyle w:val="Hyperlink"/>
            <w:noProof/>
            <w:lang w:eastAsia="zh-TW"/>
          </w:rPr>
          <w:t>1</w:t>
        </w:r>
        <w:r w:rsidR="00B1472A">
          <w:rPr>
            <w:noProof/>
            <w:sz w:val="22"/>
            <w:szCs w:val="22"/>
            <w:lang w:eastAsia="en-GB" w:bidi="ar-SA"/>
          </w:rPr>
          <w:tab/>
        </w:r>
        <w:r w:rsidR="00B1472A" w:rsidRPr="00657846">
          <w:rPr>
            <w:rStyle w:val="Hyperlink"/>
            <w:noProof/>
            <w:lang w:eastAsia="zh-TW"/>
          </w:rPr>
          <w:t>Introduction</w:t>
        </w:r>
        <w:r w:rsidR="00B1472A">
          <w:rPr>
            <w:noProof/>
            <w:webHidden/>
          </w:rPr>
          <w:tab/>
        </w:r>
        <w:r w:rsidR="00B1472A">
          <w:rPr>
            <w:noProof/>
            <w:webHidden/>
          </w:rPr>
          <w:fldChar w:fldCharType="begin"/>
        </w:r>
        <w:r w:rsidR="00B1472A">
          <w:rPr>
            <w:noProof/>
            <w:webHidden/>
          </w:rPr>
          <w:instrText xml:space="preserve"> PAGEREF _Toc270614677 \h </w:instrText>
        </w:r>
        <w:r w:rsidR="00B1472A">
          <w:rPr>
            <w:noProof/>
            <w:webHidden/>
          </w:rPr>
        </w:r>
        <w:r w:rsidR="00B1472A">
          <w:rPr>
            <w:noProof/>
            <w:webHidden/>
          </w:rPr>
          <w:fldChar w:fldCharType="separate"/>
        </w:r>
        <w:r w:rsidR="00B1472A">
          <w:rPr>
            <w:noProof/>
            <w:webHidden/>
          </w:rPr>
          <w:t>1</w:t>
        </w:r>
        <w:r w:rsidR="00B1472A">
          <w:rPr>
            <w:noProof/>
            <w:webHidden/>
          </w:rPr>
          <w:fldChar w:fldCharType="end"/>
        </w:r>
      </w:hyperlink>
    </w:p>
    <w:p w:rsidR="00B1472A" w:rsidRDefault="00B1472A">
      <w:pPr>
        <w:pStyle w:val="TOC1"/>
        <w:tabs>
          <w:tab w:val="left" w:pos="480"/>
          <w:tab w:val="right" w:leader="dot" w:pos="8381"/>
        </w:tabs>
        <w:rPr>
          <w:noProof/>
          <w:sz w:val="22"/>
          <w:szCs w:val="22"/>
          <w:lang w:eastAsia="en-GB" w:bidi="ar-SA"/>
        </w:rPr>
      </w:pPr>
      <w:hyperlink w:anchor="_Toc270614678" w:history="1">
        <w:r w:rsidRPr="00657846">
          <w:rPr>
            <w:rStyle w:val="Hyperlink"/>
            <w:noProof/>
            <w:lang w:eastAsia="zh-TW"/>
          </w:rPr>
          <w:t>2</w:t>
        </w:r>
        <w:r>
          <w:rPr>
            <w:noProof/>
            <w:sz w:val="22"/>
            <w:szCs w:val="22"/>
            <w:lang w:eastAsia="en-GB" w:bidi="ar-SA"/>
          </w:rPr>
          <w:tab/>
        </w:r>
        <w:r w:rsidRPr="00657846">
          <w:rPr>
            <w:rStyle w:val="Hyperlink"/>
            <w:noProof/>
            <w:lang w:eastAsia="zh-TW"/>
          </w:rPr>
          <w:t>Background</w:t>
        </w:r>
        <w:r>
          <w:rPr>
            <w:noProof/>
            <w:webHidden/>
          </w:rPr>
          <w:tab/>
        </w:r>
        <w:r>
          <w:rPr>
            <w:noProof/>
            <w:webHidden/>
          </w:rPr>
          <w:fldChar w:fldCharType="begin"/>
        </w:r>
        <w:r>
          <w:rPr>
            <w:noProof/>
            <w:webHidden/>
          </w:rPr>
          <w:instrText xml:space="preserve"> PAGEREF _Toc270614678 \h </w:instrText>
        </w:r>
        <w:r>
          <w:rPr>
            <w:noProof/>
            <w:webHidden/>
          </w:rPr>
        </w:r>
        <w:r>
          <w:rPr>
            <w:noProof/>
            <w:webHidden/>
          </w:rPr>
          <w:fldChar w:fldCharType="separate"/>
        </w:r>
        <w:r>
          <w:rPr>
            <w:noProof/>
            <w:webHidden/>
          </w:rPr>
          <w:t>2</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79" w:history="1">
        <w:r w:rsidRPr="00657846">
          <w:rPr>
            <w:rStyle w:val="Hyperlink"/>
            <w:noProof/>
            <w:lang w:eastAsia="zh-TW"/>
          </w:rPr>
          <w:t>2.1</w:t>
        </w:r>
        <w:r>
          <w:rPr>
            <w:noProof/>
            <w:sz w:val="22"/>
            <w:szCs w:val="22"/>
            <w:lang w:eastAsia="en-GB" w:bidi="ar-SA"/>
          </w:rPr>
          <w:tab/>
        </w:r>
        <w:r w:rsidRPr="00657846">
          <w:rPr>
            <w:rStyle w:val="Hyperlink"/>
            <w:noProof/>
            <w:lang w:eastAsia="zh-TW"/>
          </w:rPr>
          <w:t>Temporal Expressions</w:t>
        </w:r>
        <w:r>
          <w:rPr>
            <w:noProof/>
            <w:webHidden/>
          </w:rPr>
          <w:tab/>
        </w:r>
        <w:r>
          <w:rPr>
            <w:noProof/>
            <w:webHidden/>
          </w:rPr>
          <w:fldChar w:fldCharType="begin"/>
        </w:r>
        <w:r>
          <w:rPr>
            <w:noProof/>
            <w:webHidden/>
          </w:rPr>
          <w:instrText xml:space="preserve"> PAGEREF _Toc270614679 \h </w:instrText>
        </w:r>
        <w:r>
          <w:rPr>
            <w:noProof/>
            <w:webHidden/>
          </w:rPr>
        </w:r>
        <w:r>
          <w:rPr>
            <w:noProof/>
            <w:webHidden/>
          </w:rPr>
          <w:fldChar w:fldCharType="separate"/>
        </w:r>
        <w:r>
          <w:rPr>
            <w:noProof/>
            <w:webHidden/>
          </w:rPr>
          <w:t>2</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80" w:history="1">
        <w:r w:rsidRPr="00657846">
          <w:rPr>
            <w:rStyle w:val="Hyperlink"/>
            <w:noProof/>
            <w:lang w:eastAsia="zh-TW"/>
          </w:rPr>
          <w:t>2.2</w:t>
        </w:r>
        <w:r>
          <w:rPr>
            <w:noProof/>
            <w:sz w:val="22"/>
            <w:szCs w:val="22"/>
            <w:lang w:eastAsia="en-GB" w:bidi="ar-SA"/>
          </w:rPr>
          <w:tab/>
        </w:r>
        <w:r w:rsidRPr="00657846">
          <w:rPr>
            <w:rStyle w:val="Hyperlink"/>
            <w:noProof/>
            <w:lang w:eastAsia="zh-TW"/>
          </w:rPr>
          <w:t>Annotation Standards</w:t>
        </w:r>
        <w:r>
          <w:rPr>
            <w:noProof/>
            <w:webHidden/>
          </w:rPr>
          <w:tab/>
        </w:r>
        <w:r>
          <w:rPr>
            <w:noProof/>
            <w:webHidden/>
          </w:rPr>
          <w:fldChar w:fldCharType="begin"/>
        </w:r>
        <w:r>
          <w:rPr>
            <w:noProof/>
            <w:webHidden/>
          </w:rPr>
          <w:instrText xml:space="preserve"> PAGEREF _Toc270614680 \h </w:instrText>
        </w:r>
        <w:r>
          <w:rPr>
            <w:noProof/>
            <w:webHidden/>
          </w:rPr>
        </w:r>
        <w:r>
          <w:rPr>
            <w:noProof/>
            <w:webHidden/>
          </w:rPr>
          <w:fldChar w:fldCharType="separate"/>
        </w:r>
        <w:r>
          <w:rPr>
            <w:noProof/>
            <w:webHidden/>
          </w:rPr>
          <w:t>3</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81" w:history="1">
        <w:r w:rsidRPr="00657846">
          <w:rPr>
            <w:rStyle w:val="Hyperlink"/>
            <w:noProof/>
          </w:rPr>
          <w:t>2.3</w:t>
        </w:r>
        <w:r>
          <w:rPr>
            <w:noProof/>
            <w:sz w:val="22"/>
            <w:szCs w:val="22"/>
            <w:lang w:eastAsia="en-GB" w:bidi="ar-SA"/>
          </w:rPr>
          <w:tab/>
        </w:r>
        <w:r w:rsidRPr="00657846">
          <w:rPr>
            <w:rStyle w:val="Hyperlink"/>
            <w:noProof/>
          </w:rPr>
          <w:t>Evaluating Tagger Performance</w:t>
        </w:r>
        <w:r>
          <w:rPr>
            <w:noProof/>
            <w:webHidden/>
          </w:rPr>
          <w:tab/>
        </w:r>
        <w:r>
          <w:rPr>
            <w:noProof/>
            <w:webHidden/>
          </w:rPr>
          <w:fldChar w:fldCharType="begin"/>
        </w:r>
        <w:r>
          <w:rPr>
            <w:noProof/>
            <w:webHidden/>
          </w:rPr>
          <w:instrText xml:space="preserve"> PAGEREF _Toc270614681 \h </w:instrText>
        </w:r>
        <w:r>
          <w:rPr>
            <w:noProof/>
            <w:webHidden/>
          </w:rPr>
        </w:r>
        <w:r>
          <w:rPr>
            <w:noProof/>
            <w:webHidden/>
          </w:rPr>
          <w:fldChar w:fldCharType="separate"/>
        </w:r>
        <w:r>
          <w:rPr>
            <w:noProof/>
            <w:webHidden/>
          </w:rPr>
          <w:t>6</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82" w:history="1">
        <w:r w:rsidRPr="00657846">
          <w:rPr>
            <w:rStyle w:val="Hyperlink"/>
            <w:noProof/>
            <w:lang w:eastAsia="zh-TW"/>
          </w:rPr>
          <w:t>2.4</w:t>
        </w:r>
        <w:r>
          <w:rPr>
            <w:noProof/>
            <w:sz w:val="22"/>
            <w:szCs w:val="22"/>
            <w:lang w:eastAsia="en-GB" w:bidi="ar-SA"/>
          </w:rPr>
          <w:tab/>
        </w:r>
        <w:r w:rsidRPr="00657846">
          <w:rPr>
            <w:rStyle w:val="Hyperlink"/>
            <w:noProof/>
            <w:lang w:eastAsia="zh-TW"/>
          </w:rPr>
          <w:t>Corpora</w:t>
        </w:r>
        <w:r>
          <w:rPr>
            <w:noProof/>
            <w:webHidden/>
          </w:rPr>
          <w:tab/>
        </w:r>
        <w:r>
          <w:rPr>
            <w:noProof/>
            <w:webHidden/>
          </w:rPr>
          <w:fldChar w:fldCharType="begin"/>
        </w:r>
        <w:r>
          <w:rPr>
            <w:noProof/>
            <w:webHidden/>
          </w:rPr>
          <w:instrText xml:space="preserve"> PAGEREF _Toc270614682 \h </w:instrText>
        </w:r>
        <w:r>
          <w:rPr>
            <w:noProof/>
            <w:webHidden/>
          </w:rPr>
        </w:r>
        <w:r>
          <w:rPr>
            <w:noProof/>
            <w:webHidden/>
          </w:rPr>
          <w:fldChar w:fldCharType="separate"/>
        </w:r>
        <w:r>
          <w:rPr>
            <w:noProof/>
            <w:webHidden/>
          </w:rPr>
          <w:t>6</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83" w:history="1">
        <w:r w:rsidRPr="00657846">
          <w:rPr>
            <w:rStyle w:val="Hyperlink"/>
            <w:noProof/>
          </w:rPr>
          <w:t>2.5</w:t>
        </w:r>
        <w:r>
          <w:rPr>
            <w:noProof/>
            <w:sz w:val="22"/>
            <w:szCs w:val="22"/>
            <w:lang w:eastAsia="en-GB" w:bidi="ar-SA"/>
          </w:rPr>
          <w:tab/>
        </w:r>
        <w:r w:rsidRPr="00657846">
          <w:rPr>
            <w:rStyle w:val="Hyperlink"/>
            <w:noProof/>
          </w:rPr>
          <w:t>Temporal Expression Taggers</w:t>
        </w:r>
        <w:r>
          <w:rPr>
            <w:noProof/>
            <w:webHidden/>
          </w:rPr>
          <w:tab/>
        </w:r>
        <w:r>
          <w:rPr>
            <w:noProof/>
            <w:webHidden/>
          </w:rPr>
          <w:fldChar w:fldCharType="begin"/>
        </w:r>
        <w:r>
          <w:rPr>
            <w:noProof/>
            <w:webHidden/>
          </w:rPr>
          <w:instrText xml:space="preserve"> PAGEREF _Toc270614683 \h </w:instrText>
        </w:r>
        <w:r>
          <w:rPr>
            <w:noProof/>
            <w:webHidden/>
          </w:rPr>
        </w:r>
        <w:r>
          <w:rPr>
            <w:noProof/>
            <w:webHidden/>
          </w:rPr>
          <w:fldChar w:fldCharType="separate"/>
        </w:r>
        <w:r>
          <w:rPr>
            <w:noProof/>
            <w:webHidden/>
          </w:rPr>
          <w:t>7</w:t>
        </w:r>
        <w:r>
          <w:rPr>
            <w:noProof/>
            <w:webHidden/>
          </w:rPr>
          <w:fldChar w:fldCharType="end"/>
        </w:r>
      </w:hyperlink>
    </w:p>
    <w:p w:rsidR="00B1472A" w:rsidRDefault="00B1472A">
      <w:pPr>
        <w:pStyle w:val="TOC1"/>
        <w:tabs>
          <w:tab w:val="left" w:pos="480"/>
          <w:tab w:val="right" w:leader="dot" w:pos="8381"/>
        </w:tabs>
        <w:rPr>
          <w:noProof/>
          <w:sz w:val="22"/>
          <w:szCs w:val="22"/>
          <w:lang w:eastAsia="en-GB" w:bidi="ar-SA"/>
        </w:rPr>
      </w:pPr>
      <w:hyperlink w:anchor="_Toc270614684" w:history="1">
        <w:r w:rsidRPr="00657846">
          <w:rPr>
            <w:rStyle w:val="Hyperlink"/>
            <w:noProof/>
          </w:rPr>
          <w:t>3</w:t>
        </w:r>
        <w:r>
          <w:rPr>
            <w:noProof/>
            <w:sz w:val="22"/>
            <w:szCs w:val="22"/>
            <w:lang w:eastAsia="en-GB" w:bidi="ar-SA"/>
          </w:rPr>
          <w:tab/>
        </w:r>
        <w:r w:rsidRPr="00657846">
          <w:rPr>
            <w:rStyle w:val="Hyperlink"/>
            <w:noProof/>
          </w:rPr>
          <w:t>Problem Analysis</w:t>
        </w:r>
        <w:r>
          <w:rPr>
            <w:noProof/>
            <w:webHidden/>
          </w:rPr>
          <w:tab/>
        </w:r>
        <w:r>
          <w:rPr>
            <w:noProof/>
            <w:webHidden/>
          </w:rPr>
          <w:fldChar w:fldCharType="begin"/>
        </w:r>
        <w:r>
          <w:rPr>
            <w:noProof/>
            <w:webHidden/>
          </w:rPr>
          <w:instrText xml:space="preserve"> PAGEREF _Toc270614684 \h </w:instrText>
        </w:r>
        <w:r>
          <w:rPr>
            <w:noProof/>
            <w:webHidden/>
          </w:rPr>
        </w:r>
        <w:r>
          <w:rPr>
            <w:noProof/>
            <w:webHidden/>
          </w:rPr>
          <w:fldChar w:fldCharType="separate"/>
        </w:r>
        <w:r>
          <w:rPr>
            <w:noProof/>
            <w:webHidden/>
          </w:rPr>
          <w:t>13</w:t>
        </w:r>
        <w:r>
          <w:rPr>
            <w:noProof/>
            <w:webHidden/>
          </w:rPr>
          <w:fldChar w:fldCharType="end"/>
        </w:r>
      </w:hyperlink>
    </w:p>
    <w:p w:rsidR="00B1472A" w:rsidRDefault="00B1472A">
      <w:pPr>
        <w:pStyle w:val="TOC1"/>
        <w:tabs>
          <w:tab w:val="left" w:pos="480"/>
          <w:tab w:val="right" w:leader="dot" w:pos="8381"/>
        </w:tabs>
        <w:rPr>
          <w:noProof/>
          <w:sz w:val="22"/>
          <w:szCs w:val="22"/>
          <w:lang w:eastAsia="en-GB" w:bidi="ar-SA"/>
        </w:rPr>
      </w:pPr>
      <w:hyperlink w:anchor="_Toc270614685" w:history="1">
        <w:r w:rsidRPr="00657846">
          <w:rPr>
            <w:rStyle w:val="Hyperlink"/>
            <w:noProof/>
          </w:rPr>
          <w:t>4</w:t>
        </w:r>
        <w:r>
          <w:rPr>
            <w:noProof/>
            <w:sz w:val="22"/>
            <w:szCs w:val="22"/>
            <w:lang w:eastAsia="en-GB" w:bidi="ar-SA"/>
          </w:rPr>
          <w:tab/>
        </w:r>
        <w:r w:rsidRPr="00657846">
          <w:rPr>
            <w:rStyle w:val="Hyperlink"/>
            <w:noProof/>
          </w:rPr>
          <w:t>System</w:t>
        </w:r>
        <w:r>
          <w:rPr>
            <w:noProof/>
            <w:webHidden/>
          </w:rPr>
          <w:tab/>
        </w:r>
        <w:r>
          <w:rPr>
            <w:noProof/>
            <w:webHidden/>
          </w:rPr>
          <w:fldChar w:fldCharType="begin"/>
        </w:r>
        <w:r>
          <w:rPr>
            <w:noProof/>
            <w:webHidden/>
          </w:rPr>
          <w:instrText xml:space="preserve"> PAGEREF _Toc270614685 \h </w:instrText>
        </w:r>
        <w:r>
          <w:rPr>
            <w:noProof/>
            <w:webHidden/>
          </w:rPr>
        </w:r>
        <w:r>
          <w:rPr>
            <w:noProof/>
            <w:webHidden/>
          </w:rPr>
          <w:fldChar w:fldCharType="separate"/>
        </w:r>
        <w:r>
          <w:rPr>
            <w:noProof/>
            <w:webHidden/>
          </w:rPr>
          <w:t>15</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86" w:history="1">
        <w:r w:rsidRPr="00657846">
          <w:rPr>
            <w:rStyle w:val="Hyperlink"/>
            <w:noProof/>
          </w:rPr>
          <w:t>4.1</w:t>
        </w:r>
        <w:r>
          <w:rPr>
            <w:noProof/>
            <w:sz w:val="22"/>
            <w:szCs w:val="22"/>
            <w:lang w:eastAsia="en-GB" w:bidi="ar-SA"/>
          </w:rPr>
          <w:tab/>
        </w:r>
        <w:r w:rsidRPr="00657846">
          <w:rPr>
            <w:rStyle w:val="Hyperlink"/>
            <w:noProof/>
          </w:rPr>
          <w:t>Architecture</w:t>
        </w:r>
        <w:r>
          <w:rPr>
            <w:noProof/>
            <w:webHidden/>
          </w:rPr>
          <w:tab/>
        </w:r>
        <w:r>
          <w:rPr>
            <w:noProof/>
            <w:webHidden/>
          </w:rPr>
          <w:fldChar w:fldCharType="begin"/>
        </w:r>
        <w:r>
          <w:rPr>
            <w:noProof/>
            <w:webHidden/>
          </w:rPr>
          <w:instrText xml:space="preserve"> PAGEREF _Toc270614686 \h </w:instrText>
        </w:r>
        <w:r>
          <w:rPr>
            <w:noProof/>
            <w:webHidden/>
          </w:rPr>
        </w:r>
        <w:r>
          <w:rPr>
            <w:noProof/>
            <w:webHidden/>
          </w:rPr>
          <w:fldChar w:fldCharType="separate"/>
        </w:r>
        <w:r>
          <w:rPr>
            <w:noProof/>
            <w:webHidden/>
          </w:rPr>
          <w:t>15</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87" w:history="1">
        <w:r w:rsidRPr="00657846">
          <w:rPr>
            <w:rStyle w:val="Hyperlink"/>
            <w:noProof/>
          </w:rPr>
          <w:t>4.2</w:t>
        </w:r>
        <w:r>
          <w:rPr>
            <w:noProof/>
            <w:sz w:val="22"/>
            <w:szCs w:val="22"/>
            <w:lang w:eastAsia="en-GB" w:bidi="ar-SA"/>
          </w:rPr>
          <w:tab/>
        </w:r>
        <w:r w:rsidRPr="00657846">
          <w:rPr>
            <w:rStyle w:val="Hyperlink"/>
            <w:noProof/>
          </w:rPr>
          <w:t>Recognition By Rule</w:t>
        </w:r>
        <w:r>
          <w:rPr>
            <w:noProof/>
            <w:webHidden/>
          </w:rPr>
          <w:tab/>
        </w:r>
        <w:r>
          <w:rPr>
            <w:noProof/>
            <w:webHidden/>
          </w:rPr>
          <w:fldChar w:fldCharType="begin"/>
        </w:r>
        <w:r>
          <w:rPr>
            <w:noProof/>
            <w:webHidden/>
          </w:rPr>
          <w:instrText xml:space="preserve"> PAGEREF _Toc270614687 \h </w:instrText>
        </w:r>
        <w:r>
          <w:rPr>
            <w:noProof/>
            <w:webHidden/>
          </w:rPr>
        </w:r>
        <w:r>
          <w:rPr>
            <w:noProof/>
            <w:webHidden/>
          </w:rPr>
          <w:fldChar w:fldCharType="separate"/>
        </w:r>
        <w:r>
          <w:rPr>
            <w:noProof/>
            <w:webHidden/>
          </w:rPr>
          <w:t>17</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88" w:history="1">
        <w:r w:rsidRPr="00657846">
          <w:rPr>
            <w:rStyle w:val="Hyperlink"/>
            <w:noProof/>
          </w:rPr>
          <w:t>4.3</w:t>
        </w:r>
        <w:r>
          <w:rPr>
            <w:noProof/>
            <w:sz w:val="22"/>
            <w:szCs w:val="22"/>
            <w:lang w:eastAsia="en-GB" w:bidi="ar-SA"/>
          </w:rPr>
          <w:tab/>
        </w:r>
        <w:r w:rsidRPr="00657846">
          <w:rPr>
            <w:rStyle w:val="Hyperlink"/>
            <w:noProof/>
          </w:rPr>
          <w:t>Normalisation By Rule</w:t>
        </w:r>
        <w:r>
          <w:rPr>
            <w:noProof/>
            <w:webHidden/>
          </w:rPr>
          <w:tab/>
        </w:r>
        <w:r>
          <w:rPr>
            <w:noProof/>
            <w:webHidden/>
          </w:rPr>
          <w:fldChar w:fldCharType="begin"/>
        </w:r>
        <w:r>
          <w:rPr>
            <w:noProof/>
            <w:webHidden/>
          </w:rPr>
          <w:instrText xml:space="preserve"> PAGEREF _Toc270614688 \h </w:instrText>
        </w:r>
        <w:r>
          <w:rPr>
            <w:noProof/>
            <w:webHidden/>
          </w:rPr>
        </w:r>
        <w:r>
          <w:rPr>
            <w:noProof/>
            <w:webHidden/>
          </w:rPr>
          <w:fldChar w:fldCharType="separate"/>
        </w:r>
        <w:r>
          <w:rPr>
            <w:noProof/>
            <w:webHidden/>
          </w:rPr>
          <w:t>24</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89" w:history="1">
        <w:r w:rsidRPr="00657846">
          <w:rPr>
            <w:rStyle w:val="Hyperlink"/>
            <w:noProof/>
          </w:rPr>
          <w:t>4.4</w:t>
        </w:r>
        <w:r>
          <w:rPr>
            <w:noProof/>
            <w:sz w:val="22"/>
            <w:szCs w:val="22"/>
            <w:lang w:eastAsia="en-GB" w:bidi="ar-SA"/>
          </w:rPr>
          <w:tab/>
        </w:r>
        <w:r w:rsidRPr="00657846">
          <w:rPr>
            <w:rStyle w:val="Hyperlink"/>
            <w:noProof/>
          </w:rPr>
          <w:t>Document Formats</w:t>
        </w:r>
        <w:r>
          <w:rPr>
            <w:noProof/>
            <w:webHidden/>
          </w:rPr>
          <w:tab/>
        </w:r>
        <w:r>
          <w:rPr>
            <w:noProof/>
            <w:webHidden/>
          </w:rPr>
          <w:fldChar w:fldCharType="begin"/>
        </w:r>
        <w:r>
          <w:rPr>
            <w:noProof/>
            <w:webHidden/>
          </w:rPr>
          <w:instrText xml:space="preserve"> PAGEREF _Toc270614689 \h </w:instrText>
        </w:r>
        <w:r>
          <w:rPr>
            <w:noProof/>
            <w:webHidden/>
          </w:rPr>
        </w:r>
        <w:r>
          <w:rPr>
            <w:noProof/>
            <w:webHidden/>
          </w:rPr>
          <w:fldChar w:fldCharType="separate"/>
        </w:r>
        <w:r>
          <w:rPr>
            <w:noProof/>
            <w:webHidden/>
          </w:rPr>
          <w:t>30</w:t>
        </w:r>
        <w:r>
          <w:rPr>
            <w:noProof/>
            <w:webHidden/>
          </w:rPr>
          <w:fldChar w:fldCharType="end"/>
        </w:r>
      </w:hyperlink>
    </w:p>
    <w:p w:rsidR="00B1472A" w:rsidRDefault="00B1472A">
      <w:pPr>
        <w:pStyle w:val="TOC1"/>
        <w:tabs>
          <w:tab w:val="left" w:pos="480"/>
          <w:tab w:val="right" w:leader="dot" w:pos="8381"/>
        </w:tabs>
        <w:rPr>
          <w:noProof/>
          <w:sz w:val="22"/>
          <w:szCs w:val="22"/>
          <w:lang w:eastAsia="en-GB" w:bidi="ar-SA"/>
        </w:rPr>
      </w:pPr>
      <w:hyperlink w:anchor="_Toc270614690" w:history="1">
        <w:r w:rsidRPr="00657846">
          <w:rPr>
            <w:rStyle w:val="Hyperlink"/>
            <w:noProof/>
          </w:rPr>
          <w:t>5</w:t>
        </w:r>
        <w:r>
          <w:rPr>
            <w:noProof/>
            <w:sz w:val="22"/>
            <w:szCs w:val="22"/>
            <w:lang w:eastAsia="en-GB" w:bidi="ar-SA"/>
          </w:rPr>
          <w:tab/>
        </w:r>
        <w:r w:rsidRPr="00657846">
          <w:rPr>
            <w:rStyle w:val="Hyperlink"/>
            <w:noProof/>
          </w:rPr>
          <w:t>Evaluation</w:t>
        </w:r>
        <w:r>
          <w:rPr>
            <w:noProof/>
            <w:webHidden/>
          </w:rPr>
          <w:tab/>
        </w:r>
        <w:r>
          <w:rPr>
            <w:noProof/>
            <w:webHidden/>
          </w:rPr>
          <w:fldChar w:fldCharType="begin"/>
        </w:r>
        <w:r>
          <w:rPr>
            <w:noProof/>
            <w:webHidden/>
          </w:rPr>
          <w:instrText xml:space="preserve"> PAGEREF _Toc270614690 \h </w:instrText>
        </w:r>
        <w:r>
          <w:rPr>
            <w:noProof/>
            <w:webHidden/>
          </w:rPr>
        </w:r>
        <w:r>
          <w:rPr>
            <w:noProof/>
            <w:webHidden/>
          </w:rPr>
          <w:fldChar w:fldCharType="separate"/>
        </w:r>
        <w:r>
          <w:rPr>
            <w:noProof/>
            <w:webHidden/>
          </w:rPr>
          <w:t>33</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91" w:history="1">
        <w:r w:rsidRPr="00657846">
          <w:rPr>
            <w:rStyle w:val="Hyperlink"/>
            <w:noProof/>
          </w:rPr>
          <w:t>5.1</w:t>
        </w:r>
        <w:r>
          <w:rPr>
            <w:noProof/>
            <w:sz w:val="22"/>
            <w:szCs w:val="22"/>
            <w:lang w:eastAsia="en-GB" w:bidi="ar-SA"/>
          </w:rPr>
          <w:tab/>
        </w:r>
        <w:r w:rsidRPr="00657846">
          <w:rPr>
            <w:rStyle w:val="Hyperlink"/>
            <w:noProof/>
          </w:rPr>
          <w:t>System Performance</w:t>
        </w:r>
        <w:r>
          <w:rPr>
            <w:noProof/>
            <w:webHidden/>
          </w:rPr>
          <w:tab/>
        </w:r>
        <w:r>
          <w:rPr>
            <w:noProof/>
            <w:webHidden/>
          </w:rPr>
          <w:fldChar w:fldCharType="begin"/>
        </w:r>
        <w:r>
          <w:rPr>
            <w:noProof/>
            <w:webHidden/>
          </w:rPr>
          <w:instrText xml:space="preserve"> PAGEREF _Toc270614691 \h </w:instrText>
        </w:r>
        <w:r>
          <w:rPr>
            <w:noProof/>
            <w:webHidden/>
          </w:rPr>
        </w:r>
        <w:r>
          <w:rPr>
            <w:noProof/>
            <w:webHidden/>
          </w:rPr>
          <w:fldChar w:fldCharType="separate"/>
        </w:r>
        <w:r>
          <w:rPr>
            <w:noProof/>
            <w:webHidden/>
          </w:rPr>
          <w:t>33</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92" w:history="1">
        <w:r w:rsidRPr="00657846">
          <w:rPr>
            <w:rStyle w:val="Hyperlink"/>
            <w:noProof/>
          </w:rPr>
          <w:t>5.2</w:t>
        </w:r>
        <w:r>
          <w:rPr>
            <w:noProof/>
            <w:sz w:val="22"/>
            <w:szCs w:val="22"/>
            <w:lang w:eastAsia="en-GB" w:bidi="ar-SA"/>
          </w:rPr>
          <w:tab/>
        </w:r>
        <w:r w:rsidRPr="00657846">
          <w:rPr>
            <w:rStyle w:val="Hyperlink"/>
            <w:noProof/>
          </w:rPr>
          <w:t>Speed and Throughput</w:t>
        </w:r>
        <w:r>
          <w:rPr>
            <w:noProof/>
            <w:webHidden/>
          </w:rPr>
          <w:tab/>
        </w:r>
        <w:r>
          <w:rPr>
            <w:noProof/>
            <w:webHidden/>
          </w:rPr>
          <w:fldChar w:fldCharType="begin"/>
        </w:r>
        <w:r>
          <w:rPr>
            <w:noProof/>
            <w:webHidden/>
          </w:rPr>
          <w:instrText xml:space="preserve"> PAGEREF _Toc270614692 \h </w:instrText>
        </w:r>
        <w:r>
          <w:rPr>
            <w:noProof/>
            <w:webHidden/>
          </w:rPr>
        </w:r>
        <w:r>
          <w:rPr>
            <w:noProof/>
            <w:webHidden/>
          </w:rPr>
          <w:fldChar w:fldCharType="separate"/>
        </w:r>
        <w:r>
          <w:rPr>
            <w:noProof/>
            <w:webHidden/>
          </w:rPr>
          <w:t>34</w:t>
        </w:r>
        <w:r>
          <w:rPr>
            <w:noProof/>
            <w:webHidden/>
          </w:rPr>
          <w:fldChar w:fldCharType="end"/>
        </w:r>
      </w:hyperlink>
    </w:p>
    <w:p w:rsidR="00B1472A" w:rsidRDefault="00B1472A">
      <w:pPr>
        <w:pStyle w:val="TOC1"/>
        <w:tabs>
          <w:tab w:val="left" w:pos="480"/>
          <w:tab w:val="right" w:leader="dot" w:pos="8381"/>
        </w:tabs>
        <w:rPr>
          <w:noProof/>
          <w:sz w:val="22"/>
          <w:szCs w:val="22"/>
          <w:lang w:eastAsia="en-GB" w:bidi="ar-SA"/>
        </w:rPr>
      </w:pPr>
      <w:hyperlink w:anchor="_Toc270614693" w:history="1">
        <w:r w:rsidRPr="00657846">
          <w:rPr>
            <w:rStyle w:val="Hyperlink"/>
            <w:noProof/>
          </w:rPr>
          <w:t>6</w:t>
        </w:r>
        <w:r>
          <w:rPr>
            <w:noProof/>
            <w:sz w:val="22"/>
            <w:szCs w:val="22"/>
            <w:lang w:eastAsia="en-GB" w:bidi="ar-SA"/>
          </w:rPr>
          <w:tab/>
        </w:r>
        <w:r w:rsidRPr="00657846">
          <w:rPr>
            <w:rStyle w:val="Hyperlink"/>
            <w:noProof/>
          </w:rPr>
          <w:t>Discussion</w:t>
        </w:r>
        <w:r>
          <w:rPr>
            <w:noProof/>
            <w:webHidden/>
          </w:rPr>
          <w:tab/>
        </w:r>
        <w:r>
          <w:rPr>
            <w:noProof/>
            <w:webHidden/>
          </w:rPr>
          <w:fldChar w:fldCharType="begin"/>
        </w:r>
        <w:r>
          <w:rPr>
            <w:noProof/>
            <w:webHidden/>
          </w:rPr>
          <w:instrText xml:space="preserve"> PAGEREF _Toc270614693 \h </w:instrText>
        </w:r>
        <w:r>
          <w:rPr>
            <w:noProof/>
            <w:webHidden/>
          </w:rPr>
        </w:r>
        <w:r>
          <w:rPr>
            <w:noProof/>
            <w:webHidden/>
          </w:rPr>
          <w:fldChar w:fldCharType="separate"/>
        </w:r>
        <w:r>
          <w:rPr>
            <w:noProof/>
            <w:webHidden/>
          </w:rPr>
          <w:t>36</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94" w:history="1">
        <w:r w:rsidRPr="00657846">
          <w:rPr>
            <w:rStyle w:val="Hyperlink"/>
            <w:noProof/>
          </w:rPr>
          <w:t>6.1</w:t>
        </w:r>
        <w:r>
          <w:rPr>
            <w:noProof/>
            <w:sz w:val="22"/>
            <w:szCs w:val="22"/>
            <w:lang w:eastAsia="en-GB" w:bidi="ar-SA"/>
          </w:rPr>
          <w:tab/>
        </w:r>
        <w:r w:rsidRPr="00657846">
          <w:rPr>
            <w:rStyle w:val="Hyperlink"/>
            <w:noProof/>
          </w:rPr>
          <w:t>Meeting The Requirements</w:t>
        </w:r>
        <w:r>
          <w:rPr>
            <w:noProof/>
            <w:webHidden/>
          </w:rPr>
          <w:tab/>
        </w:r>
        <w:r>
          <w:rPr>
            <w:noProof/>
            <w:webHidden/>
          </w:rPr>
          <w:fldChar w:fldCharType="begin"/>
        </w:r>
        <w:r>
          <w:rPr>
            <w:noProof/>
            <w:webHidden/>
          </w:rPr>
          <w:instrText xml:space="preserve"> PAGEREF _Toc270614694 \h </w:instrText>
        </w:r>
        <w:r>
          <w:rPr>
            <w:noProof/>
            <w:webHidden/>
          </w:rPr>
        </w:r>
        <w:r>
          <w:rPr>
            <w:noProof/>
            <w:webHidden/>
          </w:rPr>
          <w:fldChar w:fldCharType="separate"/>
        </w:r>
        <w:r>
          <w:rPr>
            <w:noProof/>
            <w:webHidden/>
          </w:rPr>
          <w:t>36</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95" w:history="1">
        <w:r w:rsidRPr="00657846">
          <w:rPr>
            <w:rStyle w:val="Hyperlink"/>
            <w:noProof/>
          </w:rPr>
          <w:t>6.2</w:t>
        </w:r>
        <w:r>
          <w:rPr>
            <w:noProof/>
            <w:sz w:val="22"/>
            <w:szCs w:val="22"/>
            <w:lang w:eastAsia="en-GB" w:bidi="ar-SA"/>
          </w:rPr>
          <w:tab/>
        </w:r>
        <w:r w:rsidRPr="00657846">
          <w:rPr>
            <w:rStyle w:val="Hyperlink"/>
            <w:noProof/>
          </w:rPr>
          <w:t>Implementation Issues</w:t>
        </w:r>
        <w:r>
          <w:rPr>
            <w:noProof/>
            <w:webHidden/>
          </w:rPr>
          <w:tab/>
        </w:r>
        <w:r>
          <w:rPr>
            <w:noProof/>
            <w:webHidden/>
          </w:rPr>
          <w:fldChar w:fldCharType="begin"/>
        </w:r>
        <w:r>
          <w:rPr>
            <w:noProof/>
            <w:webHidden/>
          </w:rPr>
          <w:instrText xml:space="preserve"> PAGEREF _Toc270614695 \h </w:instrText>
        </w:r>
        <w:r>
          <w:rPr>
            <w:noProof/>
            <w:webHidden/>
          </w:rPr>
        </w:r>
        <w:r>
          <w:rPr>
            <w:noProof/>
            <w:webHidden/>
          </w:rPr>
          <w:fldChar w:fldCharType="separate"/>
        </w:r>
        <w:r>
          <w:rPr>
            <w:noProof/>
            <w:webHidden/>
          </w:rPr>
          <w:t>36</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96" w:history="1">
        <w:r w:rsidRPr="00657846">
          <w:rPr>
            <w:rStyle w:val="Hyperlink"/>
            <w:noProof/>
          </w:rPr>
          <w:t>6.3</w:t>
        </w:r>
        <w:r>
          <w:rPr>
            <w:noProof/>
            <w:sz w:val="22"/>
            <w:szCs w:val="22"/>
            <w:lang w:eastAsia="en-GB" w:bidi="ar-SA"/>
          </w:rPr>
          <w:tab/>
        </w:r>
        <w:r w:rsidRPr="00657846">
          <w:rPr>
            <w:rStyle w:val="Hyperlink"/>
            <w:noProof/>
          </w:rPr>
          <w:t>Standard and Corpora Deficiencies</w:t>
        </w:r>
        <w:r>
          <w:rPr>
            <w:noProof/>
            <w:webHidden/>
          </w:rPr>
          <w:tab/>
        </w:r>
        <w:r>
          <w:rPr>
            <w:noProof/>
            <w:webHidden/>
          </w:rPr>
          <w:fldChar w:fldCharType="begin"/>
        </w:r>
        <w:r>
          <w:rPr>
            <w:noProof/>
            <w:webHidden/>
          </w:rPr>
          <w:instrText xml:space="preserve"> PAGEREF _Toc270614696 \h </w:instrText>
        </w:r>
        <w:r>
          <w:rPr>
            <w:noProof/>
            <w:webHidden/>
          </w:rPr>
        </w:r>
        <w:r>
          <w:rPr>
            <w:noProof/>
            <w:webHidden/>
          </w:rPr>
          <w:fldChar w:fldCharType="separate"/>
        </w:r>
        <w:r>
          <w:rPr>
            <w:noProof/>
            <w:webHidden/>
          </w:rPr>
          <w:t>36</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97" w:history="1">
        <w:r w:rsidRPr="00657846">
          <w:rPr>
            <w:rStyle w:val="Hyperlink"/>
            <w:noProof/>
          </w:rPr>
          <w:t>6.4</w:t>
        </w:r>
        <w:r>
          <w:rPr>
            <w:noProof/>
            <w:sz w:val="22"/>
            <w:szCs w:val="22"/>
            <w:lang w:eastAsia="en-GB" w:bidi="ar-SA"/>
          </w:rPr>
          <w:tab/>
        </w:r>
        <w:r w:rsidRPr="00657846">
          <w:rPr>
            <w:rStyle w:val="Hyperlink"/>
            <w:noProof/>
          </w:rPr>
          <w:t>System Performance</w:t>
        </w:r>
        <w:r>
          <w:rPr>
            <w:noProof/>
            <w:webHidden/>
          </w:rPr>
          <w:tab/>
        </w:r>
        <w:r>
          <w:rPr>
            <w:noProof/>
            <w:webHidden/>
          </w:rPr>
          <w:fldChar w:fldCharType="begin"/>
        </w:r>
        <w:r>
          <w:rPr>
            <w:noProof/>
            <w:webHidden/>
          </w:rPr>
          <w:instrText xml:space="preserve"> PAGEREF _Toc270614697 \h </w:instrText>
        </w:r>
        <w:r>
          <w:rPr>
            <w:noProof/>
            <w:webHidden/>
          </w:rPr>
        </w:r>
        <w:r>
          <w:rPr>
            <w:noProof/>
            <w:webHidden/>
          </w:rPr>
          <w:fldChar w:fldCharType="separate"/>
        </w:r>
        <w:r>
          <w:rPr>
            <w:noProof/>
            <w:webHidden/>
          </w:rPr>
          <w:t>36</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98" w:history="1">
        <w:r w:rsidRPr="00657846">
          <w:rPr>
            <w:rStyle w:val="Hyperlink"/>
            <w:noProof/>
          </w:rPr>
          <w:t>6.5</w:t>
        </w:r>
        <w:r>
          <w:rPr>
            <w:noProof/>
            <w:sz w:val="22"/>
            <w:szCs w:val="22"/>
            <w:lang w:eastAsia="en-GB" w:bidi="ar-SA"/>
          </w:rPr>
          <w:tab/>
        </w:r>
        <w:r w:rsidRPr="00657846">
          <w:rPr>
            <w:rStyle w:val="Hyperlink"/>
            <w:noProof/>
          </w:rPr>
          <w:t>Future Work</w:t>
        </w:r>
        <w:r>
          <w:rPr>
            <w:noProof/>
            <w:webHidden/>
          </w:rPr>
          <w:tab/>
        </w:r>
        <w:r>
          <w:rPr>
            <w:noProof/>
            <w:webHidden/>
          </w:rPr>
          <w:fldChar w:fldCharType="begin"/>
        </w:r>
        <w:r>
          <w:rPr>
            <w:noProof/>
            <w:webHidden/>
          </w:rPr>
          <w:instrText xml:space="preserve"> PAGEREF _Toc270614698 \h </w:instrText>
        </w:r>
        <w:r>
          <w:rPr>
            <w:noProof/>
            <w:webHidden/>
          </w:rPr>
        </w:r>
        <w:r>
          <w:rPr>
            <w:noProof/>
            <w:webHidden/>
          </w:rPr>
          <w:fldChar w:fldCharType="separate"/>
        </w:r>
        <w:r>
          <w:rPr>
            <w:noProof/>
            <w:webHidden/>
          </w:rPr>
          <w:t>36</w:t>
        </w:r>
        <w:r>
          <w:rPr>
            <w:noProof/>
            <w:webHidden/>
          </w:rPr>
          <w:fldChar w:fldCharType="end"/>
        </w:r>
      </w:hyperlink>
    </w:p>
    <w:p w:rsidR="00B1472A" w:rsidRDefault="00B1472A">
      <w:pPr>
        <w:pStyle w:val="TOC2"/>
        <w:tabs>
          <w:tab w:val="left" w:pos="880"/>
          <w:tab w:val="right" w:leader="dot" w:pos="8381"/>
        </w:tabs>
        <w:rPr>
          <w:noProof/>
          <w:sz w:val="22"/>
          <w:szCs w:val="22"/>
          <w:lang w:eastAsia="en-GB" w:bidi="ar-SA"/>
        </w:rPr>
      </w:pPr>
      <w:hyperlink w:anchor="_Toc270614699" w:history="1">
        <w:r w:rsidRPr="00657846">
          <w:rPr>
            <w:rStyle w:val="Hyperlink"/>
            <w:noProof/>
          </w:rPr>
          <w:t>6.6</w:t>
        </w:r>
        <w:r>
          <w:rPr>
            <w:noProof/>
            <w:sz w:val="22"/>
            <w:szCs w:val="22"/>
            <w:lang w:eastAsia="en-GB" w:bidi="ar-SA"/>
          </w:rPr>
          <w:tab/>
        </w:r>
        <w:r w:rsidRPr="00657846">
          <w:rPr>
            <w:rStyle w:val="Hyperlink"/>
            <w:noProof/>
          </w:rPr>
          <w:t>Conclusions</w:t>
        </w:r>
        <w:r>
          <w:rPr>
            <w:noProof/>
            <w:webHidden/>
          </w:rPr>
          <w:tab/>
        </w:r>
        <w:r>
          <w:rPr>
            <w:noProof/>
            <w:webHidden/>
          </w:rPr>
          <w:fldChar w:fldCharType="begin"/>
        </w:r>
        <w:r>
          <w:rPr>
            <w:noProof/>
            <w:webHidden/>
          </w:rPr>
          <w:instrText xml:space="preserve"> PAGEREF _Toc270614699 \h </w:instrText>
        </w:r>
        <w:r>
          <w:rPr>
            <w:noProof/>
            <w:webHidden/>
          </w:rPr>
        </w:r>
        <w:r>
          <w:rPr>
            <w:noProof/>
            <w:webHidden/>
          </w:rPr>
          <w:fldChar w:fldCharType="separate"/>
        </w:r>
        <w:r>
          <w:rPr>
            <w:noProof/>
            <w:webHidden/>
          </w:rPr>
          <w:t>36</w:t>
        </w:r>
        <w:r>
          <w:rPr>
            <w:noProof/>
            <w:webHidden/>
          </w:rPr>
          <w:fldChar w:fldCharType="end"/>
        </w:r>
      </w:hyperlink>
    </w:p>
    <w:p w:rsidR="00B1472A" w:rsidRDefault="00B1472A">
      <w:pPr>
        <w:pStyle w:val="TOC1"/>
        <w:tabs>
          <w:tab w:val="left" w:pos="480"/>
          <w:tab w:val="right" w:leader="dot" w:pos="8381"/>
        </w:tabs>
        <w:rPr>
          <w:noProof/>
          <w:sz w:val="22"/>
          <w:szCs w:val="22"/>
          <w:lang w:eastAsia="en-GB" w:bidi="ar-SA"/>
        </w:rPr>
      </w:pPr>
      <w:hyperlink w:anchor="_Toc270614700" w:history="1">
        <w:r w:rsidRPr="00657846">
          <w:rPr>
            <w:rStyle w:val="Hyperlink"/>
            <w:noProof/>
          </w:rPr>
          <w:t>7</w:t>
        </w:r>
        <w:r>
          <w:rPr>
            <w:noProof/>
            <w:sz w:val="22"/>
            <w:szCs w:val="22"/>
            <w:lang w:eastAsia="en-GB" w:bidi="ar-SA"/>
          </w:rPr>
          <w:tab/>
        </w:r>
        <w:r w:rsidRPr="00657846">
          <w:rPr>
            <w:rStyle w:val="Hyperlink"/>
            <w:noProof/>
          </w:rPr>
          <w:t>Bibliography</w:t>
        </w:r>
        <w:r>
          <w:rPr>
            <w:noProof/>
            <w:webHidden/>
          </w:rPr>
          <w:tab/>
        </w:r>
        <w:r>
          <w:rPr>
            <w:noProof/>
            <w:webHidden/>
          </w:rPr>
          <w:fldChar w:fldCharType="begin"/>
        </w:r>
        <w:r>
          <w:rPr>
            <w:noProof/>
            <w:webHidden/>
          </w:rPr>
          <w:instrText xml:space="preserve"> PAGEREF _Toc270614700 \h </w:instrText>
        </w:r>
        <w:r>
          <w:rPr>
            <w:noProof/>
            <w:webHidden/>
          </w:rPr>
        </w:r>
        <w:r>
          <w:rPr>
            <w:noProof/>
            <w:webHidden/>
          </w:rPr>
          <w:fldChar w:fldCharType="separate"/>
        </w:r>
        <w:r>
          <w:rPr>
            <w:noProof/>
            <w:webHidden/>
          </w:rPr>
          <w:t>37</w:t>
        </w:r>
        <w:r>
          <w:rPr>
            <w:noProof/>
            <w:webHidden/>
          </w:rPr>
          <w:fldChar w:fldCharType="end"/>
        </w:r>
      </w:hyperlink>
    </w:p>
    <w:p w:rsidR="00FD048A" w:rsidRDefault="00B225E2">
      <w:r>
        <w:fldChar w:fldCharType="end"/>
      </w:r>
    </w:p>
    <w:p w:rsidR="000E557A" w:rsidRDefault="000E557A">
      <w:pPr>
        <w:sectPr w:rsidR="000E557A" w:rsidSect="00DC59F0">
          <w:headerReference w:type="even" r:id="rId17"/>
          <w:footerReference w:type="even" r:id="rId18"/>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3" w:name="_Toc261719264"/>
      <w:bookmarkStart w:id="4" w:name="_Toc261719329"/>
      <w:bookmarkStart w:id="5" w:name="_Toc261719383"/>
      <w:bookmarkStart w:id="6" w:name="_Ref270597942"/>
      <w:bookmarkStart w:id="7" w:name="_Ref270597945"/>
      <w:bookmarkStart w:id="8" w:name="_Ref270597959"/>
      <w:bookmarkStart w:id="9" w:name="_Ref270597966"/>
      <w:bookmarkStart w:id="10" w:name="_Ref270597973"/>
      <w:bookmarkStart w:id="11" w:name="_Ref270598179"/>
      <w:bookmarkStart w:id="12" w:name="_Toc270614677"/>
      <w:r>
        <w:rPr>
          <w:lang w:eastAsia="zh-TW"/>
        </w:rPr>
        <w:lastRenderedPageBreak/>
        <w:t>Introduction</w:t>
      </w:r>
      <w:bookmarkEnd w:id="3"/>
      <w:bookmarkEnd w:id="4"/>
      <w:bookmarkEnd w:id="5"/>
      <w:bookmarkEnd w:id="6"/>
      <w:bookmarkEnd w:id="7"/>
      <w:bookmarkEnd w:id="8"/>
      <w:bookmarkEnd w:id="9"/>
      <w:bookmarkEnd w:id="10"/>
      <w:bookmarkEnd w:id="11"/>
      <w:bookmarkEnd w:id="12"/>
    </w:p>
    <w:p w:rsidR="00EA4A36" w:rsidRDefault="00EA4A36" w:rsidP="00EA4A36">
      <w:pPr>
        <w:rPr>
          <w:lang w:eastAsia="zh-TW"/>
        </w:rPr>
      </w:pPr>
      <w:r>
        <w:rPr>
          <w:lang w:eastAsia="zh-TW"/>
        </w:rPr>
        <w:t>In this dissertation, TERNIP (Temporal Expression Recognition and Normalisation in Python), a system for recognition and normalisation of temporal expressions is presented.</w:t>
      </w:r>
    </w:p>
    <w:p w:rsidR="00EA4A36" w:rsidRDefault="00EA4A36" w:rsidP="00EA4A36">
      <w:pPr>
        <w:rPr>
          <w:lang w:eastAsia="zh-TW"/>
        </w:rPr>
      </w:pPr>
      <w:r>
        <w:rPr>
          <w:lang w:eastAsia="zh-TW"/>
        </w:rPr>
        <w:t xml:space="preserve">Temporal expressions are words and phrases which refer to some point in time </w:t>
      </w:r>
      <w:sdt>
        <w:sdtPr>
          <w:rPr>
            <w:lang w:eastAsia="zh-TW"/>
          </w:rPr>
          <w:id w:val="59902856"/>
          <w:citation/>
        </w:sdtPr>
        <w:sdtContent>
          <w:r>
            <w:rPr>
              <w:lang w:eastAsia="zh-TW"/>
            </w:rPr>
            <w:fldChar w:fldCharType="begin"/>
          </w:r>
          <w:r>
            <w:rPr>
              <w:lang w:eastAsia="zh-TW"/>
            </w:rPr>
            <w:instrText xml:space="preserve"> CITATION Ahn07 \t  \l 2057  </w:instrText>
          </w:r>
          <w:r>
            <w:rPr>
              <w:lang w:eastAsia="zh-TW"/>
            </w:rPr>
            <w:fldChar w:fldCharType="separate"/>
          </w:r>
          <w:r w:rsidR="00B1472A">
            <w:rPr>
              <w:noProof/>
              <w:lang w:eastAsia="zh-TW"/>
            </w:rPr>
            <w:t>(Ahn, Rantwijk, &amp; de Rijke, 2007)</w:t>
          </w:r>
          <w:r>
            <w:rPr>
              <w:lang w:eastAsia="zh-TW"/>
            </w:rPr>
            <w:fldChar w:fldCharType="end"/>
          </w:r>
        </w:sdtContent>
      </w:sdt>
      <w:r>
        <w:rPr>
          <w:lang w:eastAsia="zh-TW"/>
        </w:rPr>
        <w:t>, and the distinct, but related, tasks of recognition and normalisation refer to the identification and resolution of these expressions to some standard format in time.</w:t>
      </w:r>
    </w:p>
    <w:p w:rsidR="00EA4A36" w:rsidRDefault="00EA4A36" w:rsidP="00EA4A36">
      <w:pPr>
        <w:rPr>
          <w:lang w:eastAsia="zh-TW"/>
        </w:rPr>
      </w:pPr>
      <w:r>
        <w:rPr>
          <w:lang w:eastAsia="zh-TW"/>
        </w:rPr>
        <w:t xml:space="preserve">Interest in temporal expressions arises from their obvious utility, both within the wider fields of linguistics and philosophy, and as a task within the natural language processing field. Recognition and normalisation of temporal expressions in natural language text is clearly an important task for humans to be able to function in modern society (for example, correctly </w:t>
      </w:r>
      <w:proofErr w:type="gramStart"/>
      <w:r>
        <w:rPr>
          <w:lang w:eastAsia="zh-TW"/>
        </w:rPr>
        <w:t>recognising</w:t>
      </w:r>
      <w:proofErr w:type="gramEnd"/>
      <w:r>
        <w:rPr>
          <w:lang w:eastAsia="zh-TW"/>
        </w:rPr>
        <w:t xml:space="preserve"> and normalising the temporal expression “</w:t>
      </w:r>
      <w:r w:rsidR="00E602E6">
        <w:rPr>
          <w:lang w:eastAsia="zh-TW"/>
        </w:rPr>
        <w:t xml:space="preserve">next Wednesday at </w:t>
      </w:r>
      <w:r>
        <w:rPr>
          <w:lang w:eastAsia="zh-TW"/>
        </w:rPr>
        <w:t>6pm” in the sentence “Shall we meet next Wednesday at 6pm?”).</w:t>
      </w:r>
    </w:p>
    <w:p w:rsidR="00EA4A36" w:rsidRDefault="00EA4A36" w:rsidP="00EA4A36">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170962" w:rsidRDefault="00EA4A36" w:rsidP="00EA4A36">
      <w:pPr>
        <w:rPr>
          <w:lang w:eastAsia="zh-TW"/>
        </w:rPr>
      </w:pPr>
      <w:r>
        <w:rPr>
          <w:lang w:eastAsia="zh-TW"/>
        </w:rPr>
        <w:t>In the field of natural language understanding, being able to handle temporal expressions in a similar way is clearly desirable, for example, in automatic summarisation</w:t>
      </w:r>
      <w:r w:rsidRPr="00EA4A36">
        <w:rPr>
          <w:lang w:eastAsia="zh-TW"/>
        </w:rPr>
        <w:t xml:space="preserve"> </w:t>
      </w:r>
      <w:r>
        <w:rPr>
          <w:lang w:eastAsia="zh-TW"/>
        </w:rPr>
        <w:t>of news texts, where the ability to construct a chronology of events aids is useful.</w:t>
      </w:r>
      <w:r w:rsidR="00E602E6">
        <w:rPr>
          <w:lang w:eastAsia="zh-TW"/>
        </w:rPr>
        <w:t xml:space="preserve"> Section </w:t>
      </w:r>
      <w:r w:rsidR="00E602E6">
        <w:rPr>
          <w:lang w:eastAsia="zh-TW"/>
        </w:rPr>
        <w:fldChar w:fldCharType="begin"/>
      </w:r>
      <w:r w:rsidR="00E602E6">
        <w:rPr>
          <w:lang w:eastAsia="zh-TW"/>
        </w:rPr>
        <w:instrText xml:space="preserve"> REF _Ref260234775 \r \h </w:instrText>
      </w:r>
      <w:r w:rsidR="00E602E6">
        <w:rPr>
          <w:lang w:eastAsia="zh-TW"/>
        </w:rPr>
      </w:r>
      <w:r w:rsidR="00E602E6">
        <w:rPr>
          <w:lang w:eastAsia="zh-TW"/>
        </w:rPr>
        <w:fldChar w:fldCharType="separate"/>
      </w:r>
      <w:r w:rsidR="00B1472A">
        <w:rPr>
          <w:lang w:eastAsia="zh-TW"/>
        </w:rPr>
        <w:t>2.1</w:t>
      </w:r>
      <w:r w:rsidR="00E602E6">
        <w:rPr>
          <w:lang w:eastAsia="zh-TW"/>
        </w:rPr>
        <w:fldChar w:fldCharType="end"/>
      </w:r>
      <w:r w:rsidR="00E602E6">
        <w:rPr>
          <w:lang w:eastAsia="zh-TW"/>
        </w:rPr>
        <w:t xml:space="preserve"> looks at temporal expressions in further depth.</w:t>
      </w:r>
    </w:p>
    <w:p w:rsidR="00E602E6" w:rsidRDefault="00E602E6" w:rsidP="00EA4A36">
      <w:pPr>
        <w:rPr>
          <w:lang w:eastAsia="zh-TW"/>
        </w:rPr>
      </w:pPr>
      <w:r>
        <w:rPr>
          <w:lang w:eastAsia="zh-TW"/>
        </w:rPr>
        <w:t xml:space="preserve">Previous work into temporal expression recognition and normalisation has been done, including the definition of standards for annotation (section </w:t>
      </w:r>
      <w:r>
        <w:rPr>
          <w:lang w:eastAsia="zh-TW"/>
        </w:rPr>
        <w:fldChar w:fldCharType="begin"/>
      </w:r>
      <w:r>
        <w:rPr>
          <w:lang w:eastAsia="zh-TW"/>
        </w:rPr>
        <w:instrText xml:space="preserve"> REF _Ref260234932 \r \h </w:instrText>
      </w:r>
      <w:r>
        <w:rPr>
          <w:lang w:eastAsia="zh-TW"/>
        </w:rPr>
      </w:r>
      <w:r>
        <w:rPr>
          <w:lang w:eastAsia="zh-TW"/>
        </w:rPr>
        <w:fldChar w:fldCharType="separate"/>
      </w:r>
      <w:r w:rsidR="00B1472A">
        <w:rPr>
          <w:lang w:eastAsia="zh-TW"/>
        </w:rPr>
        <w:t>2.2</w:t>
      </w:r>
      <w:r>
        <w:rPr>
          <w:lang w:eastAsia="zh-TW"/>
        </w:rPr>
        <w:fldChar w:fldCharType="end"/>
      </w:r>
      <w:r>
        <w:rPr>
          <w:lang w:eastAsia="zh-TW"/>
        </w:rPr>
        <w:t>)</w:t>
      </w:r>
      <w:r w:rsidR="00526E2F">
        <w:rPr>
          <w:lang w:eastAsia="zh-TW"/>
        </w:rPr>
        <w:t xml:space="preserve"> and evaluation (section </w:t>
      </w:r>
      <w:r w:rsidR="00526E2F">
        <w:rPr>
          <w:lang w:eastAsia="zh-TW"/>
        </w:rPr>
        <w:fldChar w:fldCharType="begin"/>
      </w:r>
      <w:r w:rsidR="00526E2F">
        <w:rPr>
          <w:lang w:eastAsia="zh-TW"/>
        </w:rPr>
        <w:instrText xml:space="preserve"> REF _Ref260235702 \r \h </w:instrText>
      </w:r>
      <w:r w:rsidR="00526E2F">
        <w:rPr>
          <w:lang w:eastAsia="zh-TW"/>
        </w:rPr>
      </w:r>
      <w:r w:rsidR="00526E2F">
        <w:rPr>
          <w:lang w:eastAsia="zh-TW"/>
        </w:rPr>
        <w:fldChar w:fldCharType="separate"/>
      </w:r>
      <w:r w:rsidR="00B1472A">
        <w:rPr>
          <w:lang w:eastAsia="zh-TW"/>
        </w:rPr>
        <w:t>2.3</w:t>
      </w:r>
      <w:r w:rsidR="00526E2F">
        <w:rPr>
          <w:lang w:eastAsia="zh-TW"/>
        </w:rPr>
        <w:fldChar w:fldCharType="end"/>
      </w:r>
      <w:r w:rsidR="00526E2F">
        <w:rPr>
          <w:lang w:eastAsia="zh-TW"/>
        </w:rPr>
        <w:t>)</w:t>
      </w:r>
      <w:r>
        <w:rPr>
          <w:lang w:eastAsia="zh-TW"/>
        </w:rPr>
        <w:t xml:space="preserve">, </w:t>
      </w:r>
      <w:r w:rsidR="00526E2F">
        <w:rPr>
          <w:lang w:eastAsia="zh-TW"/>
        </w:rPr>
        <w:t xml:space="preserve">the development of annotated corpora (section </w:t>
      </w:r>
      <w:r w:rsidR="00526E2F">
        <w:rPr>
          <w:lang w:eastAsia="zh-TW"/>
        </w:rPr>
        <w:fldChar w:fldCharType="begin"/>
      </w:r>
      <w:r w:rsidR="00526E2F">
        <w:rPr>
          <w:lang w:eastAsia="zh-TW"/>
        </w:rPr>
        <w:instrText xml:space="preserve"> REF _Ref270606799 \r \h </w:instrText>
      </w:r>
      <w:r w:rsidR="00526E2F">
        <w:rPr>
          <w:lang w:eastAsia="zh-TW"/>
        </w:rPr>
      </w:r>
      <w:r w:rsidR="00526E2F">
        <w:rPr>
          <w:lang w:eastAsia="zh-TW"/>
        </w:rPr>
        <w:fldChar w:fldCharType="separate"/>
      </w:r>
      <w:r w:rsidR="00B1472A">
        <w:rPr>
          <w:lang w:eastAsia="zh-TW"/>
        </w:rPr>
        <w:t>2.4</w:t>
      </w:r>
      <w:r w:rsidR="00526E2F">
        <w:rPr>
          <w:lang w:eastAsia="zh-TW"/>
        </w:rPr>
        <w:fldChar w:fldCharType="end"/>
      </w:r>
      <w:r w:rsidR="00526E2F">
        <w:rPr>
          <w:lang w:eastAsia="zh-TW"/>
        </w:rPr>
        <w:t xml:space="preserve">) and tools for automated annotation of these expressions (section </w:t>
      </w:r>
      <w:r w:rsidR="00526E2F">
        <w:rPr>
          <w:lang w:eastAsia="zh-TW"/>
        </w:rPr>
        <w:fldChar w:fldCharType="begin"/>
      </w:r>
      <w:r w:rsidR="00526E2F">
        <w:rPr>
          <w:lang w:eastAsia="zh-TW"/>
        </w:rPr>
        <w:instrText xml:space="preserve"> REF _Ref260165518 \r \h </w:instrText>
      </w:r>
      <w:r w:rsidR="00526E2F">
        <w:rPr>
          <w:lang w:eastAsia="zh-TW"/>
        </w:rPr>
      </w:r>
      <w:r w:rsidR="00526E2F">
        <w:rPr>
          <w:lang w:eastAsia="zh-TW"/>
        </w:rPr>
        <w:fldChar w:fldCharType="separate"/>
      </w:r>
      <w:r w:rsidR="00B1472A">
        <w:rPr>
          <w:lang w:eastAsia="zh-TW"/>
        </w:rPr>
        <w:t>2.5</w:t>
      </w:r>
      <w:r w:rsidR="00526E2F">
        <w:rPr>
          <w:lang w:eastAsia="zh-TW"/>
        </w:rPr>
        <w:fldChar w:fldCharType="end"/>
      </w:r>
      <w:r w:rsidR="00526E2F">
        <w:rPr>
          <w:lang w:eastAsia="zh-TW"/>
        </w:rPr>
        <w:t>).</w:t>
      </w:r>
    </w:p>
    <w:p w:rsidR="005B6309" w:rsidRDefault="005B6309" w:rsidP="00EA4A36">
      <w:pPr>
        <w:rPr>
          <w:lang w:eastAsia="zh-TW"/>
        </w:rPr>
      </w:pPr>
      <w:r>
        <w:rPr>
          <w:lang w:eastAsia="zh-TW"/>
        </w:rPr>
        <w:t xml:space="preserve">Section </w:t>
      </w:r>
      <w:r>
        <w:rPr>
          <w:lang w:eastAsia="zh-TW"/>
        </w:rPr>
        <w:fldChar w:fldCharType="begin"/>
      </w:r>
      <w:r>
        <w:rPr>
          <w:lang w:eastAsia="zh-TW"/>
        </w:rPr>
        <w:instrText xml:space="preserve"> REF _Ref270598103 \r \h </w:instrText>
      </w:r>
      <w:r>
        <w:rPr>
          <w:lang w:eastAsia="zh-TW"/>
        </w:rPr>
      </w:r>
      <w:r>
        <w:rPr>
          <w:lang w:eastAsia="zh-TW"/>
        </w:rPr>
        <w:fldChar w:fldCharType="separate"/>
      </w:r>
      <w:r w:rsidR="00B1472A">
        <w:rPr>
          <w:lang w:eastAsia="zh-TW"/>
        </w:rPr>
        <w:t>3</w:t>
      </w:r>
      <w:r>
        <w:rPr>
          <w:lang w:eastAsia="zh-TW"/>
        </w:rPr>
        <w:fldChar w:fldCharType="end"/>
      </w:r>
      <w:r>
        <w:rPr>
          <w:lang w:eastAsia="zh-TW"/>
        </w:rPr>
        <w:t xml:space="preserve"> analyses the current state of the field and define</w:t>
      </w:r>
      <w:r w:rsidR="00224AEC">
        <w:rPr>
          <w:lang w:eastAsia="zh-TW"/>
        </w:rPr>
        <w:t>s</w:t>
      </w:r>
      <w:r>
        <w:rPr>
          <w:lang w:eastAsia="zh-TW"/>
        </w:rPr>
        <w:t xml:space="preserve"> a number of requirements for TERNIP to fulfil in order to be a useful tool for annotation.</w:t>
      </w:r>
      <w:r w:rsidR="00224AEC">
        <w:rPr>
          <w:lang w:eastAsia="zh-TW"/>
        </w:rPr>
        <w:t xml:space="preserve"> Section </w:t>
      </w:r>
      <w:r w:rsidR="00224AEC">
        <w:rPr>
          <w:lang w:eastAsia="zh-TW"/>
        </w:rPr>
        <w:fldChar w:fldCharType="begin"/>
      </w:r>
      <w:r w:rsidR="00224AEC">
        <w:rPr>
          <w:lang w:eastAsia="zh-TW"/>
        </w:rPr>
        <w:instrText xml:space="preserve"> REF _Ref270598129 \r \h </w:instrText>
      </w:r>
      <w:r w:rsidR="00224AEC">
        <w:rPr>
          <w:lang w:eastAsia="zh-TW"/>
        </w:rPr>
      </w:r>
      <w:r w:rsidR="00224AEC">
        <w:rPr>
          <w:lang w:eastAsia="zh-TW"/>
        </w:rPr>
        <w:fldChar w:fldCharType="separate"/>
      </w:r>
      <w:r w:rsidR="00B1472A">
        <w:rPr>
          <w:lang w:eastAsia="zh-TW"/>
        </w:rPr>
        <w:t>4</w:t>
      </w:r>
      <w:r w:rsidR="00224AEC">
        <w:rPr>
          <w:lang w:eastAsia="zh-TW"/>
        </w:rPr>
        <w:fldChar w:fldCharType="end"/>
      </w:r>
      <w:r w:rsidR="00224AEC">
        <w:rPr>
          <w:lang w:eastAsia="zh-TW"/>
        </w:rPr>
        <w:t xml:space="preserve"> then discusses in depth the implementation of TERNIP to meet these requirements.</w:t>
      </w:r>
    </w:p>
    <w:p w:rsidR="00224AEC" w:rsidRDefault="00224AEC" w:rsidP="00EA4A36">
      <w:pPr>
        <w:rPr>
          <w:lang w:eastAsia="zh-TW"/>
        </w:rPr>
      </w:pPr>
      <w:r>
        <w:rPr>
          <w:lang w:eastAsia="zh-TW"/>
        </w:rPr>
        <w:t xml:space="preserve">TERNIP is then evaluated (section </w:t>
      </w:r>
      <w:r>
        <w:rPr>
          <w:lang w:eastAsia="zh-TW"/>
        </w:rPr>
        <w:fldChar w:fldCharType="begin"/>
      </w:r>
      <w:r>
        <w:rPr>
          <w:lang w:eastAsia="zh-TW"/>
        </w:rPr>
        <w:instrText xml:space="preserve"> REF _Ref270176962 \r \h </w:instrText>
      </w:r>
      <w:r>
        <w:rPr>
          <w:lang w:eastAsia="zh-TW"/>
        </w:rPr>
      </w:r>
      <w:r>
        <w:rPr>
          <w:lang w:eastAsia="zh-TW"/>
        </w:rPr>
        <w:fldChar w:fldCharType="separate"/>
      </w:r>
      <w:r w:rsidR="00B1472A">
        <w:rPr>
          <w:lang w:eastAsia="zh-TW"/>
        </w:rPr>
        <w:t>5</w:t>
      </w:r>
      <w:r>
        <w:rPr>
          <w:lang w:eastAsia="zh-TW"/>
        </w:rPr>
        <w:fldChar w:fldCharType="end"/>
      </w:r>
      <w:r>
        <w:rPr>
          <w:lang w:eastAsia="zh-TW"/>
        </w:rPr>
        <w:t xml:space="preserve">) and the results, as well as issues arisen during the implementation of the project discussed in section </w:t>
      </w:r>
      <w:r>
        <w:rPr>
          <w:lang w:eastAsia="zh-TW"/>
        </w:rPr>
        <w:fldChar w:fldCharType="begin"/>
      </w:r>
      <w:r>
        <w:rPr>
          <w:lang w:eastAsia="zh-TW"/>
        </w:rPr>
        <w:instrText xml:space="preserve"> REF _Ref270432977 \r \h </w:instrText>
      </w:r>
      <w:r>
        <w:rPr>
          <w:lang w:eastAsia="zh-TW"/>
        </w:rPr>
      </w:r>
      <w:r>
        <w:rPr>
          <w:lang w:eastAsia="zh-TW"/>
        </w:rPr>
        <w:fldChar w:fldCharType="separate"/>
      </w:r>
      <w:r w:rsidR="00B1472A">
        <w:rPr>
          <w:lang w:eastAsia="zh-TW"/>
        </w:rPr>
        <w:t>6</w:t>
      </w:r>
      <w:r>
        <w:rPr>
          <w:lang w:eastAsia="zh-TW"/>
        </w:rPr>
        <w:fldChar w:fldCharType="end"/>
      </w:r>
      <w:r>
        <w:rPr>
          <w:lang w:eastAsia="zh-TW"/>
        </w:rPr>
        <w:t>.</w:t>
      </w:r>
    </w:p>
    <w:p w:rsidR="00224AEC" w:rsidRDefault="00224AEC" w:rsidP="00EA4A36">
      <w:pPr>
        <w:rPr>
          <w:lang w:eastAsia="zh-TW"/>
        </w:rPr>
      </w:pPr>
      <w:r>
        <w:rPr>
          <w:lang w:eastAsia="zh-TW"/>
        </w:rPr>
        <w:t>This dissertation finishes with suggesting areas of future development</w:t>
      </w:r>
      <w:r w:rsidR="00060A84">
        <w:rPr>
          <w:lang w:eastAsia="zh-TW"/>
        </w:rPr>
        <w:t xml:space="preserve"> and drawing some conclusions (section XXX).</w:t>
      </w:r>
    </w:p>
    <w:p w:rsidR="00EA4A36" w:rsidRDefault="00EA4A36" w:rsidP="00EA4A36">
      <w:pPr>
        <w:rPr>
          <w:lang w:eastAsia="zh-TW"/>
        </w:rPr>
      </w:pPr>
    </w:p>
    <w:p w:rsidR="00EA4A36" w:rsidRDefault="00EA4A36" w:rsidP="00EA4A36">
      <w:pPr>
        <w:rPr>
          <w:lang w:eastAsia="zh-TW"/>
        </w:rPr>
        <w:sectPr w:rsidR="00EA4A36" w:rsidSect="003536C1">
          <w:headerReference w:type="default" r:id="rId19"/>
          <w:footerReference w:type="default" r:id="rId20"/>
          <w:footerReference w:type="first" r:id="rId21"/>
          <w:pgSz w:w="11907" w:h="16840" w:code="9"/>
          <w:pgMar w:top="1134" w:right="1418" w:bottom="1134" w:left="2098" w:header="709" w:footer="709" w:gutter="0"/>
          <w:pgNumType w:start="1"/>
          <w:cols w:space="708"/>
          <w:titlePg/>
          <w:docGrid w:linePitch="360"/>
        </w:sectPr>
      </w:pPr>
    </w:p>
    <w:p w:rsidR="00AA1B5D" w:rsidRDefault="00304904" w:rsidP="00304904">
      <w:pPr>
        <w:pStyle w:val="Heading1"/>
        <w:rPr>
          <w:lang w:eastAsia="zh-TW"/>
        </w:rPr>
      </w:pPr>
      <w:bookmarkStart w:id="13" w:name="_Ref248750473"/>
      <w:bookmarkStart w:id="14" w:name="_Toc261719265"/>
      <w:bookmarkStart w:id="15" w:name="_Toc261719330"/>
      <w:bookmarkStart w:id="16" w:name="_Toc261719384"/>
      <w:bookmarkStart w:id="17" w:name="_Toc270614678"/>
      <w:r>
        <w:rPr>
          <w:lang w:eastAsia="zh-TW"/>
        </w:rPr>
        <w:lastRenderedPageBreak/>
        <w:t>Background</w:t>
      </w:r>
      <w:bookmarkEnd w:id="13"/>
      <w:bookmarkEnd w:id="14"/>
      <w:bookmarkEnd w:id="15"/>
      <w:bookmarkEnd w:id="16"/>
      <w:bookmarkEnd w:id="17"/>
    </w:p>
    <w:p w:rsidR="00304904" w:rsidRDefault="003D355D" w:rsidP="00304904">
      <w:pPr>
        <w:pStyle w:val="Heading2"/>
        <w:rPr>
          <w:lang w:eastAsia="zh-TW"/>
        </w:rPr>
      </w:pPr>
      <w:bookmarkStart w:id="18" w:name="_Ref260234775"/>
      <w:bookmarkStart w:id="19" w:name="_Toc261719266"/>
      <w:bookmarkStart w:id="20" w:name="_Toc261719331"/>
      <w:bookmarkStart w:id="21" w:name="_Toc261719385"/>
      <w:bookmarkStart w:id="22" w:name="_Toc270614679"/>
      <w:r>
        <w:rPr>
          <w:lang w:eastAsia="zh-TW"/>
        </w:rPr>
        <w:t>Temporal Expressions</w:t>
      </w:r>
      <w:bookmarkEnd w:id="18"/>
      <w:bookmarkEnd w:id="19"/>
      <w:bookmarkEnd w:id="20"/>
      <w:bookmarkEnd w:id="21"/>
      <w:bookmarkEnd w:id="22"/>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B1472A">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B1472A">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B1472A">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B1472A">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B1472A">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B1472A">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23" w:name="_Ref260234932"/>
      <w:bookmarkStart w:id="24" w:name="_Toc261719267"/>
      <w:bookmarkStart w:id="25" w:name="_Toc261719332"/>
      <w:bookmarkStart w:id="26" w:name="_Toc261719386"/>
      <w:bookmarkStart w:id="27" w:name="_Toc270614680"/>
      <w:r>
        <w:rPr>
          <w:lang w:eastAsia="zh-TW"/>
        </w:rPr>
        <w:t>Annotation Standards</w:t>
      </w:r>
      <w:bookmarkEnd w:id="23"/>
      <w:bookmarkEnd w:id="24"/>
      <w:bookmarkEnd w:id="25"/>
      <w:bookmarkEnd w:id="26"/>
      <w:bookmarkEnd w:id="27"/>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B1472A">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B1472A">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B1472A">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B1472A">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B1472A">
        <w:t xml:space="preserve">Sample </w:t>
      </w:r>
      <w:r w:rsidR="00B1472A">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1A6585">
      <w:pPr>
        <w:keepNext/>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8" w:name="_Ref270080665"/>
      <w:bookmarkStart w:id="29" w:name="_Ref270080661"/>
      <w:r>
        <w:t xml:space="preserve">Sample </w:t>
      </w:r>
      <w:r>
        <w:fldChar w:fldCharType="begin"/>
      </w:r>
      <w:r>
        <w:instrText xml:space="preserve"> SEQ Sample \* ARABIC </w:instrText>
      </w:r>
      <w:r>
        <w:fldChar w:fldCharType="separate"/>
      </w:r>
      <w:r w:rsidR="00B1472A">
        <w:rPr>
          <w:noProof/>
        </w:rPr>
        <w:t>1</w:t>
      </w:r>
      <w:r>
        <w:fldChar w:fldCharType="end"/>
      </w:r>
      <w:bookmarkEnd w:id="28"/>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B1472A">
            <w:rPr>
              <w:noProof/>
            </w:rPr>
            <w:t>(Verhagen &amp; Moszkowicz, 2008)</w:t>
          </w:r>
          <w:r>
            <w:fldChar w:fldCharType="end"/>
          </w:r>
        </w:sdtContent>
      </w:sdt>
      <w:bookmarkEnd w:id="29"/>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B1472A">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B1472A">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B1472A">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B1472A">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30" w:name="_Ref260235702"/>
      <w:bookmarkStart w:id="31" w:name="_Toc261719268"/>
      <w:bookmarkStart w:id="32" w:name="_Toc261719333"/>
      <w:bookmarkStart w:id="33" w:name="_Toc261719387"/>
      <w:bookmarkStart w:id="34" w:name="_Toc270614681"/>
      <w:r>
        <w:lastRenderedPageBreak/>
        <w:t>Evaluating Tagger Performance</w:t>
      </w:r>
      <w:bookmarkEnd w:id="30"/>
      <w:bookmarkEnd w:id="31"/>
      <w:bookmarkEnd w:id="32"/>
      <w:bookmarkEnd w:id="33"/>
      <w:bookmarkEnd w:id="34"/>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B1472A">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B1472A">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B1472A">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B1472A">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4B14C2" w:rsidP="00DE7D38">
      <w:pPr>
        <w:rPr>
          <w:lang w:eastAsia="zh-TW"/>
        </w:rPr>
      </w:pPr>
      <w:r>
        <w:rPr>
          <w:lang w:eastAsia="zh-TW"/>
        </w:rPr>
        <w:t xml:space="preserve">The first metric the TERN competition </w:t>
      </w:r>
      <w:proofErr w:type="gramStart"/>
      <w:r>
        <w:rPr>
          <w:lang w:eastAsia="zh-TW"/>
        </w:rPr>
        <w:t>uses to measure performance is</w:t>
      </w:r>
      <w:proofErr w:type="gramEnd"/>
      <w:r>
        <w:rPr>
          <w:lang w:eastAsia="zh-TW"/>
        </w:rPr>
        <w:t xml:space="preserve"> that of detection of temporal expressions.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sidR="001907DB">
        <w:rPr>
          <w:lang w:eastAsia="zh-TW"/>
        </w:rPr>
        <w:t xml:space="preserve">This final metric also can be </w:t>
      </w:r>
      <w:r w:rsidR="00FA0803">
        <w:rPr>
          <w:lang w:eastAsia="zh-TW"/>
        </w:rPr>
        <w:t>split</w:t>
      </w:r>
      <w:r w:rsidR="001907DB">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sidR="001907DB">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B1472A">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B1472A">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B1472A">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35" w:name="_Toc261719269"/>
      <w:bookmarkStart w:id="36" w:name="_Toc261719334"/>
      <w:bookmarkStart w:id="37" w:name="_Toc261719388"/>
      <w:bookmarkStart w:id="38" w:name="_Ref270606799"/>
      <w:bookmarkStart w:id="39" w:name="_Toc270614682"/>
      <w:r>
        <w:rPr>
          <w:lang w:eastAsia="zh-TW"/>
        </w:rPr>
        <w:t>Corpora</w:t>
      </w:r>
      <w:bookmarkEnd w:id="35"/>
      <w:bookmarkEnd w:id="36"/>
      <w:bookmarkEnd w:id="37"/>
      <w:bookmarkEnd w:id="38"/>
      <w:bookmarkEnd w:id="39"/>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B1472A">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B1472A">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B1472A">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B1472A">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40" w:name="_Ref260165518"/>
      <w:bookmarkStart w:id="41" w:name="_Ref260233332"/>
      <w:bookmarkStart w:id="42" w:name="_Ref260234853"/>
      <w:bookmarkStart w:id="43" w:name="_Toc261719270"/>
      <w:bookmarkStart w:id="44" w:name="_Toc261719335"/>
      <w:bookmarkStart w:id="45" w:name="_Toc261719389"/>
      <w:bookmarkStart w:id="46" w:name="_Toc270614683"/>
      <w:r>
        <w:t>Temporal Expression</w:t>
      </w:r>
      <w:r w:rsidR="002D7B44">
        <w:t xml:space="preserve"> Taggers</w:t>
      </w:r>
      <w:bookmarkEnd w:id="40"/>
      <w:bookmarkEnd w:id="41"/>
      <w:bookmarkEnd w:id="42"/>
      <w:bookmarkEnd w:id="43"/>
      <w:bookmarkEnd w:id="44"/>
      <w:bookmarkEnd w:id="45"/>
      <w:bookmarkEnd w:id="46"/>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B1472A">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B1472A">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B1472A">
            <w:rPr>
              <w:noProof/>
              <w:lang w:eastAsia="zh-TW"/>
            </w:rPr>
            <w:t>(Ahn</w:t>
          </w:r>
          <w:proofErr w:type="gramEnd"/>
          <w:r w:rsidR="00B1472A">
            <w:rPr>
              <w:noProof/>
              <w:lang w:eastAsia="zh-TW"/>
            </w:rPr>
            <w:t>,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B1472A">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B1472A">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B1472A">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47" w:name="_Toc261719336"/>
      <w:bookmarkStart w:id="48" w:name="_Toc261719390"/>
      <w:r>
        <w:rPr>
          <w:lang w:eastAsia="zh-TW"/>
        </w:rPr>
        <w:t>TempE</w:t>
      </w:r>
      <w:r w:rsidR="00AB0368">
        <w:rPr>
          <w:lang w:eastAsia="zh-TW"/>
        </w:rPr>
        <w:t>x</w:t>
      </w:r>
      <w:r>
        <w:rPr>
          <w:lang w:eastAsia="zh-TW"/>
        </w:rPr>
        <w:t xml:space="preserve"> and GUTime</w:t>
      </w:r>
      <w:bookmarkEnd w:id="47"/>
      <w:bookmarkEnd w:id="48"/>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B1472A">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B1472A">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B1472A">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B1472A">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9" w:name="_Toc261719337"/>
      <w:bookmarkStart w:id="50" w:name="_Toc261719391"/>
      <w:r>
        <w:t>Chronos</w:t>
      </w:r>
      <w:bookmarkEnd w:id="49"/>
      <w:bookmarkEnd w:id="50"/>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B1472A">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B1472A">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51" w:name="_Toc261719338"/>
      <w:bookmarkStart w:id="52" w:name="_Toc261719392"/>
      <w:r>
        <w:rPr>
          <w:lang w:eastAsia="zh-TW"/>
        </w:rPr>
        <w:t>DANTE</w:t>
      </w:r>
      <w:bookmarkEnd w:id="51"/>
      <w:bookmarkEnd w:id="52"/>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B1472A">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53" w:name="_Toc261719339"/>
      <w:bookmarkStart w:id="54" w:name="_Toc261719393"/>
      <w:r>
        <w:rPr>
          <w:lang w:eastAsia="zh-TW"/>
        </w:rPr>
        <w:t>ATEL</w:t>
      </w:r>
      <w:bookmarkEnd w:id="53"/>
      <w:bookmarkEnd w:id="54"/>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B1472A">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55" w:name="_Toc261719340"/>
      <w:bookmarkStart w:id="56" w:name="_Toc261719394"/>
      <w:r>
        <w:rPr>
          <w:lang w:eastAsia="zh-TW"/>
        </w:rPr>
        <w:t>TimexTag</w:t>
      </w:r>
      <w:bookmarkEnd w:id="55"/>
      <w:bookmarkEnd w:id="56"/>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B1472A">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57" w:name="_Toc261719341"/>
      <w:bookmarkStart w:id="58" w:name="_Toc261719395"/>
      <w:r>
        <w:rPr>
          <w:lang w:eastAsia="zh-TW"/>
        </w:rPr>
        <w:lastRenderedPageBreak/>
        <w:t>Rule Induction</w:t>
      </w:r>
      <w:bookmarkEnd w:id="57"/>
      <w:bookmarkEnd w:id="58"/>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B1472A">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B1472A">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3536C1">
          <w:headerReference w:type="default" r:id="rId22"/>
          <w:footerReference w:type="even" r:id="rId23"/>
          <w:pgSz w:w="11907" w:h="16840" w:code="9"/>
          <w:pgMar w:top="1134" w:right="1418" w:bottom="1701" w:left="2098" w:header="709" w:footer="709" w:gutter="0"/>
          <w:cols w:space="708"/>
          <w:docGrid w:linePitch="360"/>
        </w:sectPr>
      </w:pPr>
    </w:p>
    <w:p w:rsidR="00604FE7" w:rsidRDefault="00604FE7" w:rsidP="0084586B">
      <w:pPr>
        <w:pStyle w:val="Heading1"/>
      </w:pPr>
      <w:bookmarkStart w:id="59" w:name="_Ref270598103"/>
      <w:bookmarkStart w:id="60" w:name="_Ref270598204"/>
      <w:bookmarkStart w:id="61" w:name="_Toc270614684"/>
      <w:r>
        <w:lastRenderedPageBreak/>
        <w:t>Problem Analysis</w:t>
      </w:r>
      <w:bookmarkEnd w:id="59"/>
      <w:bookmarkEnd w:id="60"/>
      <w:bookmarkEnd w:id="61"/>
    </w:p>
    <w:p w:rsidR="00532AE1" w:rsidRDefault="00532AE1" w:rsidP="00604FE7">
      <w:r>
        <w:t>The literature survey conducted above, combined with the originally defined project scope and proposal, shows a number of issues to consider in the construction of a new tool. This allows for the definition of a number of requirements for TERNIP. The first requirements can be defined from the project scope:</w:t>
      </w:r>
    </w:p>
    <w:p w:rsidR="00532AE1" w:rsidRDefault="00532AE1" w:rsidP="00532AE1">
      <w:pPr>
        <w:pStyle w:val="ListParagraph"/>
        <w:numPr>
          <w:ilvl w:val="0"/>
          <w:numId w:val="9"/>
        </w:numPr>
      </w:pPr>
      <w:r>
        <w:t>A tool, in Python, capable of recognising and normalising temporal expressions in documents</w:t>
      </w:r>
    </w:p>
    <w:p w:rsidR="007B17BA" w:rsidRDefault="007B17BA" w:rsidP="00532AE1">
      <w:pPr>
        <w:pStyle w:val="ListParagraph"/>
        <w:numPr>
          <w:ilvl w:val="0"/>
          <w:numId w:val="9"/>
        </w:numPr>
      </w:pPr>
      <w:r>
        <w:t>An implementation of a rule engine for this tool, which uses the GUTime rules to implement recognition and normalisation</w:t>
      </w:r>
    </w:p>
    <w:p w:rsidR="00604FE7" w:rsidRDefault="009467B0" w:rsidP="00604FE7">
      <w:r>
        <w:t xml:space="preserve">It is clear that there are a large number of research tools available to solve the problem of temporal expression recognition and normalisation, however these tools are implemented in a standalone fashion and do not integrate well into larger tool-chains. GUTime, for example, requires a large amount of Python wrapping to be integrated into the </w:t>
      </w:r>
      <w:proofErr w:type="spellStart"/>
      <w:r>
        <w:t>Tarsqi</w:t>
      </w:r>
      <w:proofErr w:type="spellEnd"/>
      <w:r>
        <w:t xml:space="preserve"> Toolkit </w:t>
      </w:r>
      <w:sdt>
        <w:sdtPr>
          <w:id w:val="-1421637240"/>
          <w:citation/>
        </w:sdtPr>
        <w:sdtContent>
          <w:r>
            <w:fldChar w:fldCharType="begin"/>
          </w:r>
          <w:r>
            <w:instrText xml:space="preserve"> CITATION Ver05 \l 2057 </w:instrText>
          </w:r>
          <w:r>
            <w:fldChar w:fldCharType="separate"/>
          </w:r>
          <w:r w:rsidR="00B1472A">
            <w:rPr>
              <w:noProof/>
            </w:rPr>
            <w:t>(Verhagen, et al., 2005)</w:t>
          </w:r>
          <w:r>
            <w:fldChar w:fldCharType="end"/>
          </w:r>
        </w:sdtContent>
      </w:sdt>
      <w:r>
        <w:t>.</w:t>
      </w:r>
    </w:p>
    <w:p w:rsidR="007B17BA" w:rsidRDefault="007B17BA" w:rsidP="007B17BA">
      <w:pPr>
        <w:pStyle w:val="ListParagraph"/>
        <w:numPr>
          <w:ilvl w:val="0"/>
          <w:numId w:val="9"/>
        </w:numPr>
      </w:pPr>
      <w:r>
        <w:t>For an API implementation of the tool, to allow for integration into other toolkits</w:t>
      </w:r>
    </w:p>
    <w:p w:rsidR="007B17BA" w:rsidRDefault="007B17BA" w:rsidP="007B17BA">
      <w:r>
        <w:t xml:space="preserve">The current implementation of GUTime consists as modifications to, and then a wrapper around, TempEx </w:t>
      </w:r>
      <w:sdt>
        <w:sdtPr>
          <w:id w:val="1987513168"/>
          <w:citation/>
        </w:sdtPr>
        <w:sdtContent>
          <w:r>
            <w:fldChar w:fldCharType="begin"/>
          </w:r>
          <w:r>
            <w:instrText xml:space="preserve"> CITATION Man00 \l 2057 </w:instrText>
          </w:r>
          <w:r>
            <w:fldChar w:fldCharType="separate"/>
          </w:r>
          <w:r w:rsidR="00B1472A">
            <w:rPr>
              <w:noProof/>
            </w:rPr>
            <w:t>(Mani &amp; Wilson, 2000)</w:t>
          </w:r>
          <w:r>
            <w:fldChar w:fldCharType="end"/>
          </w:r>
        </w:sdtContent>
      </w:sdt>
      <w:r>
        <w:t>. A system that allows for separation of the rules from the application logic would make the system more extendable.</w:t>
      </w:r>
    </w:p>
    <w:p w:rsidR="007B17BA" w:rsidRDefault="007B17BA" w:rsidP="007B17BA">
      <w:pPr>
        <w:pStyle w:val="ListParagraph"/>
        <w:numPr>
          <w:ilvl w:val="0"/>
          <w:numId w:val="9"/>
        </w:numPr>
      </w:pPr>
      <w:r>
        <w:t>For a rule engine which separates the actual rules from the application logic</w:t>
      </w:r>
    </w:p>
    <w:p w:rsidR="007B17BA" w:rsidRDefault="007B17BA" w:rsidP="007B17BA">
      <w:r>
        <w:rPr>
          <w:noProof/>
        </w:rPr>
        <w:t>Ahn, Adafre, &amp; de Rijke (2005)</w:t>
      </w:r>
      <w:r>
        <w:t xml:space="preserve"> discusses the issue of separation of recognition and normalisation components, pointing to the benefits of mixing and matching components from different systems to produce an overall better system.</w:t>
      </w:r>
    </w:p>
    <w:p w:rsidR="007B17BA" w:rsidRDefault="007B17BA" w:rsidP="007B17BA">
      <w:pPr>
        <w:pStyle w:val="ListParagraph"/>
        <w:numPr>
          <w:ilvl w:val="0"/>
          <w:numId w:val="9"/>
        </w:numPr>
      </w:pPr>
      <w:r>
        <w:t>For recognition and normalisation components within the system to be separated</w:t>
      </w:r>
    </w:p>
    <w:p w:rsidR="007B17BA" w:rsidRDefault="007B17BA" w:rsidP="007B17BA">
      <w:pPr>
        <w:pStyle w:val="ListParagraph"/>
        <w:numPr>
          <w:ilvl w:val="0"/>
          <w:numId w:val="9"/>
        </w:numPr>
      </w:pPr>
      <w:r>
        <w:t>To allow for modularity of the recognition and normalisation components so that they can be replaced with other modules at a later date</w:t>
      </w:r>
    </w:p>
    <w:p w:rsidR="00A75A45" w:rsidRDefault="00612D64" w:rsidP="00612D64">
      <w:r>
        <w:t xml:space="preserve">A final issue identified is the </w:t>
      </w:r>
      <w:r w:rsidR="006A7926">
        <w:t>size of annotated corpora, and the two standards used between them – the older TIMEX2 tag and the newer TimeML standard.</w:t>
      </w:r>
      <w:r w:rsidR="00A75A45">
        <w:t xml:space="preserve"> The heavy linking of some tools to TIMEX2 has now rendered them obsolete without a substantial effort to bring them up-to-date.</w:t>
      </w:r>
    </w:p>
    <w:p w:rsidR="00612D64" w:rsidRDefault="00A75A45" w:rsidP="00A75A45">
      <w:pPr>
        <w:pStyle w:val="ListParagraph"/>
        <w:numPr>
          <w:ilvl w:val="0"/>
          <w:numId w:val="9"/>
        </w:numPr>
      </w:pPr>
      <w:r>
        <w:t>Modular input/output components, with the annotation modules themselves being format agnostic.</w:t>
      </w:r>
    </w:p>
    <w:p w:rsidR="007B17BA" w:rsidRDefault="007B17BA" w:rsidP="007B17BA">
      <w:r>
        <w:lastRenderedPageBreak/>
        <w:t>It is also useful to define a limit to the scope of the implemented system. The system should focus only on the tasks of recognition</w:t>
      </w:r>
      <w:r w:rsidR="006A3B57">
        <w:t xml:space="preserve"> and normalisation of temporal expressions, rather than the full range of tags within TimeML, or relations between events and timexes, etc.</w:t>
      </w:r>
    </w:p>
    <w:p w:rsidR="007B17BA" w:rsidRDefault="007B17BA" w:rsidP="007B17BA"/>
    <w:p w:rsidR="007B17BA" w:rsidRDefault="007B17BA" w:rsidP="007B17BA"/>
    <w:p w:rsidR="009467B0" w:rsidRDefault="009467B0" w:rsidP="00604FE7"/>
    <w:p w:rsidR="009467B0" w:rsidRDefault="009467B0" w:rsidP="00604FE7">
      <w:pPr>
        <w:sectPr w:rsidR="009467B0" w:rsidSect="003536C1">
          <w:headerReference w:type="default" r:id="rId24"/>
          <w:pgSz w:w="11907" w:h="16840" w:code="9"/>
          <w:pgMar w:top="1134" w:right="1418" w:bottom="1701" w:left="2098" w:header="709" w:footer="709" w:gutter="0"/>
          <w:cols w:space="708"/>
          <w:titlePg/>
          <w:docGrid w:linePitch="360"/>
        </w:sectPr>
      </w:pPr>
    </w:p>
    <w:p w:rsidR="0084586B" w:rsidRDefault="0084586B" w:rsidP="0084586B">
      <w:pPr>
        <w:pStyle w:val="Heading1"/>
      </w:pPr>
      <w:bookmarkStart w:id="62" w:name="_Ref270598129"/>
      <w:bookmarkStart w:id="63" w:name="_Ref270598222"/>
      <w:bookmarkStart w:id="64" w:name="_Toc270614685"/>
      <w:r>
        <w:lastRenderedPageBreak/>
        <w:t>System</w:t>
      </w:r>
      <w:bookmarkEnd w:id="62"/>
      <w:bookmarkEnd w:id="63"/>
      <w:bookmarkEnd w:id="64"/>
    </w:p>
    <w:p w:rsidR="0084586B" w:rsidRDefault="00FD0F9A" w:rsidP="00BD69BF">
      <w:r>
        <w:t xml:space="preserve">The TERNIP </w:t>
      </w:r>
      <w:r w:rsidR="00983318">
        <w:t>system is implemented in Python</w:t>
      </w:r>
      <w:r w:rsidR="00960E3E">
        <w:t xml:space="preserve"> </w:t>
      </w:r>
      <w:sdt>
        <w:sdtPr>
          <w:id w:val="1003099366"/>
          <w:citation/>
        </w:sdtPr>
        <w:sdtContent>
          <w:r w:rsidR="00960E3E">
            <w:fldChar w:fldCharType="begin"/>
          </w:r>
          <w:r w:rsidR="00960E3E">
            <w:instrText xml:space="preserve"> CITATION van95 \l 2057 </w:instrText>
          </w:r>
          <w:r w:rsidR="00960E3E">
            <w:fldChar w:fldCharType="separate"/>
          </w:r>
          <w:r w:rsidR="00B1472A">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BD69BF">
        <w:t xml:space="preserve"> provide a simple driver to tagging functionality.</w:t>
      </w:r>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B1472A">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B1472A">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7C6F4D" w:rsidRDefault="007C6F4D" w:rsidP="007C6F4D">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p>
    <w:p w:rsidR="003547F2" w:rsidRPr="00A15B53" w:rsidRDefault="003547F2" w:rsidP="00BD69BF">
      <w:pPr>
        <w:rPr>
          <w:rStyle w:val="Code"/>
        </w:rPr>
      </w:pPr>
      <w:r>
        <w:t>Below, we discuss the high-level architecture of the system, followed by the implemented rule-based approach for timex recognition and normalisation and the document format wrappers.</w:t>
      </w:r>
    </w:p>
    <w:p w:rsidR="00DE3852" w:rsidRDefault="00DE3852" w:rsidP="00DE3852">
      <w:pPr>
        <w:pStyle w:val="Heading2"/>
      </w:pPr>
      <w:bookmarkStart w:id="65" w:name="_Ref270419873"/>
      <w:bookmarkStart w:id="66" w:name="_Toc270614686"/>
      <w:r>
        <w:t>Architecture</w:t>
      </w:r>
      <w:bookmarkEnd w:id="65"/>
      <w:bookmarkEnd w:id="66"/>
    </w:p>
    <w:p w:rsidR="00DE3852" w:rsidRDefault="000104F4" w:rsidP="00DE3852">
      <w:r>
        <w:t xml:space="preserve">The </w:t>
      </w:r>
      <w:r w:rsidRPr="000104F4">
        <w:rPr>
          <w:rStyle w:val="Code"/>
        </w:rPr>
        <w:t>ternip</w:t>
      </w:r>
      <w:r>
        <w:t xml:space="preserve"> package comes with two sub</w:t>
      </w:r>
      <w:r w:rsidR="0024712F">
        <w:t>-</w:t>
      </w:r>
      <w:r>
        <w:t xml:space="preserve">packages: </w:t>
      </w:r>
      <w:r w:rsidRPr="000104F4">
        <w:rPr>
          <w:rStyle w:val="Code"/>
        </w:rPr>
        <w:t>rule_engine</w:t>
      </w:r>
      <w:r>
        <w:t xml:space="preserve"> and </w:t>
      </w:r>
      <w:r w:rsidRPr="000104F4">
        <w:rPr>
          <w:rStyle w:val="Code"/>
        </w:rPr>
        <w:t>formats</w:t>
      </w:r>
      <w:r w:rsidR="0024712F" w:rsidRPr="0024712F">
        <w:t>,</w:t>
      </w:r>
      <w:r>
        <w:t xml:space="preserve"> which each contain distinct components of the system. Additionally, 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w:t>
      </w:r>
      <w:r w:rsidR="00DB00B7">
        <w:t xml:space="preserve">can be used to easily instantiate the “current best” normalisation and recognition components. At present, </w:t>
      </w:r>
      <w:r w:rsidR="0024712F">
        <w:t xml:space="preserve">there is only one implemented module for both, but instantiating the recogniser and normaliser in this way allows </w:t>
      </w:r>
      <w:r w:rsidR="00FA0803">
        <w:t>improved</w:t>
      </w:r>
      <w:r w:rsidR="0024712F">
        <w:t xml:space="preserve"> techniques to be implemented later without any API changes to applications using TERNIP.</w:t>
      </w:r>
    </w:p>
    <w:p w:rsidR="0024712F" w:rsidRDefault="0024712F" w:rsidP="00DE3852">
      <w:r>
        <w:t xml:space="preserve">Also in the </w:t>
      </w:r>
      <w:r w:rsidRPr="0024712F">
        <w:rPr>
          <w:rStyle w:val="Code"/>
        </w:rPr>
        <w:t>ternip</w:t>
      </w:r>
      <w:r>
        <w:t xml:space="preserve"> package is a class, </w:t>
      </w:r>
      <w:proofErr w:type="spellStart"/>
      <w:r w:rsidRPr="0024712F">
        <w:rPr>
          <w:rStyle w:val="Code"/>
        </w:rPr>
        <w:t>ternip.timex</w:t>
      </w:r>
      <w:proofErr w:type="spellEnd"/>
      <w:r>
        <w:t xml:space="preserve">, which allows for abstract representation of the attributes of a time expression. The members of this class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B1472A">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B1472A">
        <w:t xml:space="preserve">Table </w:t>
      </w:r>
      <w:r w:rsidR="00B1472A">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732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B1472A">
                  <w:rPr>
                    <w:noProof/>
                  </w:rPr>
                  <w:t>(Ferro, Mani, Sundheim, &amp; Wilson, 2001)</w:t>
                </w:r>
                <w:r>
                  <w:fldChar w:fldCharType="end"/>
                </w:r>
              </w:sdtContent>
            </w:sdt>
            <w:r>
              <w:t>) indicating the temporal value of the annotated expression</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67" w:name="_Ref270079381"/>
      <w:r>
        <w:t xml:space="preserve">Table </w:t>
      </w:r>
      <w:r>
        <w:fldChar w:fldCharType="begin"/>
      </w:r>
      <w:r>
        <w:instrText xml:space="preserve"> SEQ Table \* ARABIC </w:instrText>
      </w:r>
      <w:r>
        <w:fldChar w:fldCharType="separate"/>
      </w:r>
      <w:r w:rsidR="00B1472A">
        <w:rPr>
          <w:noProof/>
        </w:rPr>
        <w:t>1</w:t>
      </w:r>
      <w:r>
        <w:fldChar w:fldCharType="end"/>
      </w:r>
      <w:bookmarkEnd w:id="67"/>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id attributes in a set of timex objects so each timex has a unique identifier.</w:t>
      </w:r>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B1472A">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B1472A">
        <w:t xml:space="preserve">Sample </w:t>
      </w:r>
      <w:r w:rsidR="00B1472A">
        <w:rPr>
          <w:noProof/>
        </w:rPr>
        <w:t>2</w:t>
      </w:r>
      <w:r w:rsidR="001A6585">
        <w:fldChar w:fldCharType="end"/>
      </w:r>
      <w:r w:rsidR="001A6585">
        <w:t xml:space="preserve">, where a document consisting of a single sentence (“He derided Egypt for signing a peace treaty with Israel in 1979.”) with the penultimate token annotated </w:t>
      </w:r>
      <w:r w:rsidR="001A6585">
        <w:lastRenderedPageBreak/>
        <w:t xml:space="preserve">as a timex. In the case where a timex spans multiple tokens, then the same </w:t>
      </w:r>
      <w:r w:rsidR="008D06F1">
        <w:t xml:space="preserve">timex object will be associated with </w:t>
      </w:r>
      <w:r w:rsidR="00D16204">
        <w:t>every token in the expression.</w:t>
      </w:r>
    </w:p>
    <w:p w:rsidR="001A6585" w:rsidRDefault="001A6585" w:rsidP="001A6585">
      <w:pPr>
        <w:pBdr>
          <w:top w:val="single" w:sz="4" w:space="1" w:color="auto"/>
          <w:left w:val="single" w:sz="4" w:space="4" w:color="auto"/>
          <w:bottom w:val="single" w:sz="4" w:space="1" w:color="auto"/>
          <w:right w:val="single" w:sz="4" w:space="4" w:color="auto"/>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68" w:name="_Ref270080747"/>
      <w:r>
        <w:t xml:space="preserve">Sample </w:t>
      </w:r>
      <w:r>
        <w:fldChar w:fldCharType="begin"/>
      </w:r>
      <w:r>
        <w:instrText xml:space="preserve"> SEQ Sample \* ARABIC </w:instrText>
      </w:r>
      <w:r>
        <w:fldChar w:fldCharType="separate"/>
      </w:r>
      <w:r w:rsidR="00B1472A">
        <w:rPr>
          <w:noProof/>
        </w:rPr>
        <w:t>2</w:t>
      </w:r>
      <w:r>
        <w:fldChar w:fldCharType="end"/>
      </w:r>
      <w:bookmarkEnd w:id="68"/>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B1472A">
        <w:t>4.4</w:t>
      </w:r>
      <w:r>
        <w:fldChar w:fldCharType="end"/>
      </w:r>
      <w:r w:rsidR="00717E64">
        <w:t>.</w:t>
      </w:r>
    </w:p>
    <w:p w:rsidR="00717E64" w:rsidRDefault="00717E64" w:rsidP="007F135D">
      <w:r>
        <w:t xml:space="preserve">In order to work with this internal format, a series of classes are provided which allows loading documents from disc, presenting them in the internal format,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B1472A">
        <w:t>4.4</w:t>
      </w:r>
      <w:r>
        <w:fldChar w:fldCharType="end"/>
      </w:r>
      <w:r>
        <w:t>.</w:t>
      </w:r>
    </w:p>
    <w:p w:rsidR="000150C6" w:rsidRPr="007F135D" w:rsidRDefault="000150C6" w:rsidP="007F135D">
      <w:r>
        <w:t>Once you have used a document class to get at the text in a file, you can then pass the internal format representation to the recogniser and then normaliser. Doing recognition by rule is discussed in section</w:t>
      </w:r>
      <w:r w:rsidR="00364CBA">
        <w:t xml:space="preserve"> </w:t>
      </w:r>
      <w:r w:rsidR="00364CBA">
        <w:fldChar w:fldCharType="begin"/>
      </w:r>
      <w:r w:rsidR="00364CBA">
        <w:instrText xml:space="preserve"> REF _Ref270083073 \r \h </w:instrText>
      </w:r>
      <w:r w:rsidR="00364CBA">
        <w:fldChar w:fldCharType="separate"/>
      </w:r>
      <w:r w:rsidR="00B1472A">
        <w:t>4.2</w:t>
      </w:r>
      <w:r w:rsidR="00364CBA">
        <w:fldChar w:fldCharType="end"/>
      </w:r>
      <w:r>
        <w:t>, and</w:t>
      </w:r>
      <w:r w:rsidR="00364CBA">
        <w:t xml:space="preserve"> then normalisation in section </w:t>
      </w:r>
      <w:r w:rsidR="00364CBA">
        <w:fldChar w:fldCharType="begin"/>
      </w:r>
      <w:r w:rsidR="00364CBA">
        <w:instrText xml:space="preserve"> REF _Ref270083084 \r \h </w:instrText>
      </w:r>
      <w:r w:rsidR="00364CBA">
        <w:fldChar w:fldCharType="separate"/>
      </w:r>
      <w:r w:rsidR="00B1472A">
        <w:t>4.3</w:t>
      </w:r>
      <w:r w:rsidR="00364CBA">
        <w:fldChar w:fldCharType="end"/>
      </w:r>
      <w:r>
        <w:t>.</w:t>
      </w:r>
    </w:p>
    <w:p w:rsidR="00873E62" w:rsidRDefault="00DE3852" w:rsidP="00873E62">
      <w:pPr>
        <w:pStyle w:val="Heading2"/>
      </w:pPr>
      <w:bookmarkStart w:id="69" w:name="_Ref270083073"/>
      <w:bookmarkStart w:id="70" w:name="_Toc270614687"/>
      <w:r>
        <w:t>Recognition By Rule</w:t>
      </w:r>
      <w:bookmarkEnd w:id="69"/>
      <w:bookmarkEnd w:id="70"/>
    </w:p>
    <w:p w:rsidR="00FA0803" w:rsidRDefault="00927E69" w:rsidP="00873E62">
      <w:r>
        <w:t>The rule engine for recognition in TERNIP works by loading a list of rule objects and then checks for preconditions on the rules, which if passed, leads to the rule marking an extent of text within a sentence with a new timex.</w:t>
      </w:r>
      <w:r w:rsidR="00807A7E">
        <w:t xml:space="preserve"> This is implemented in TERNIP as the </w:t>
      </w:r>
      <w:proofErr w:type="spellStart"/>
      <w:r w:rsidR="00807A7E" w:rsidRPr="00807A7E">
        <w:rPr>
          <w:rStyle w:val="Code"/>
        </w:rPr>
        <w:t>ternip.rule_engine.recognition_rule_engine</w:t>
      </w:r>
      <w:proofErr w:type="spellEnd"/>
      <w:r w:rsidR="00807A7E">
        <w:t xml:space="preserve"> class</w:t>
      </w:r>
      <w:r w:rsidR="00FA0803">
        <w:t>.</w:t>
      </w:r>
    </w:p>
    <w:p w:rsidR="00B50228" w:rsidRDefault="00FA0803" w:rsidP="00873E62">
      <w:r>
        <w:t>Rule</w:t>
      </w:r>
      <w:r w:rsidR="00927E69">
        <w:t xml:space="preserve"> preconditions come in two forms: ordering preconditions and ‘guards’</w:t>
      </w:r>
      <w:r w:rsidR="009F7A4B">
        <w:t>.</w:t>
      </w:r>
      <w:r w:rsidR="00C67270">
        <w:t xml:space="preserve"> Other than the preconditions, a rule for recognition of timexes consists of a ‘matching’ regular expression, where the token </w:t>
      </w:r>
      <w:r w:rsidR="00B50228">
        <w:t>sequence that matches this regular expression</w:t>
      </w:r>
      <w:r w:rsidR="00C67270">
        <w:t xml:space="preserve"> is defined as the extent of this timex</w:t>
      </w:r>
      <w:r w:rsidR="004F1DC3">
        <w:t>, and a type definition, which indicates which type of timex this rule defines</w:t>
      </w:r>
      <w:r w:rsidR="00B50228">
        <w:t>.</w:t>
      </w:r>
    </w:p>
    <w:p w:rsidR="00B66EF4" w:rsidRDefault="00FA0803" w:rsidP="00873E62">
      <w:r>
        <w:t xml:space="preserve">The rule engine passes the sentences one at a time to the rule class in the internal representation, however as regular expressions can only match against strings; this internal form must be converted into a string representation against which the regular expressions can match. </w:t>
      </w:r>
      <w:r w:rsidR="00F9610F">
        <w:t xml:space="preserve">This format extends on the interface given by </w:t>
      </w:r>
      <w:r w:rsidR="00F9610F">
        <w:lastRenderedPageBreak/>
        <w:t xml:space="preserve">the NLTK software </w:t>
      </w:r>
      <w:sdt>
        <w:sdtPr>
          <w:id w:val="384767500"/>
          <w:citation/>
        </w:sdtPr>
        <w:sdtContent>
          <w:r w:rsidR="00F9610F">
            <w:fldChar w:fldCharType="begin"/>
          </w:r>
          <w:r w:rsidR="00F9610F">
            <w:instrText xml:space="preserve"> CITATION Bir09 \l 2057 </w:instrText>
          </w:r>
          <w:r w:rsidR="00F9610F">
            <w:fldChar w:fldCharType="separate"/>
          </w:r>
          <w:r w:rsidR="00B1472A">
            <w:rPr>
              <w:noProof/>
            </w:rPr>
            <w:t>(Bird, Klein, &amp; Loper, 2009)</w:t>
          </w:r>
          <w:r w:rsidR="00F9610F">
            <w:fldChar w:fldCharType="end"/>
          </w:r>
        </w:sdtContent>
      </w:sdt>
      <w:r w:rsidR="00F9610F">
        <w:t xml:space="preserve"> in the </w:t>
      </w:r>
      <w:proofErr w:type="spellStart"/>
      <w:r w:rsidR="00F9610F" w:rsidRPr="00F9610F">
        <w:rPr>
          <w:rStyle w:val="Code"/>
        </w:rPr>
        <w:t>nltk.text.TokenSearcher</w:t>
      </w:r>
      <w:proofErr w:type="spellEnd"/>
      <w:r w:rsidR="00F9610F">
        <w:t xml:space="preserve"> </w:t>
      </w:r>
      <w:r w:rsidR="00B66EF4">
        <w:t>class.</w:t>
      </w:r>
    </w:p>
    <w:p w:rsidR="00B66EF4" w:rsidRDefault="00B66EF4" w:rsidP="00873E62">
      <w:r>
        <w:t xml:space="preserve">In this representation, tokens are enclosed in angle brackets to indicate distinct tokens. </w:t>
      </w:r>
      <w:r w:rsidR="00FA0803">
        <w:t>The NLTK implementation, however, loses fidelity as part-of-speech tags and any currently associated timex objects are not included. Currently</w:t>
      </w:r>
      <w:r>
        <w:t xml:space="preserve"> associated timexes are likely to be of limited interest for </w:t>
      </w:r>
      <w:r w:rsidR="00FA0803">
        <w:t>tagging;</w:t>
      </w:r>
      <w:r>
        <w:t xml:space="preserve"> </w:t>
      </w:r>
      <w:r w:rsidR="00FA0803">
        <w:t>however,</w:t>
      </w:r>
      <w:r>
        <w:t xml:space="preserve"> part-of-speech tags are a more interesting feature for determining timex extents and values.</w:t>
      </w:r>
      <w:r w:rsidR="000E433A">
        <w:t xml:space="preserve"> For this reason, the NLTK implementation is extended so that the token is appended with a tilde and then the part-of-speech tag for that token. </w:t>
      </w:r>
      <w:r w:rsidR="00483C3A">
        <w:fldChar w:fldCharType="begin"/>
      </w:r>
      <w:r w:rsidR="00483C3A">
        <w:instrText xml:space="preserve"> REF _Ref270164724 \h </w:instrText>
      </w:r>
      <w:r w:rsidR="00483C3A">
        <w:fldChar w:fldCharType="separate"/>
      </w:r>
      <w:r w:rsidR="00B1472A">
        <w:t xml:space="preserve">Sample </w:t>
      </w:r>
      <w:r w:rsidR="00B1472A">
        <w:rPr>
          <w:noProof/>
        </w:rPr>
        <w:t>3</w:t>
      </w:r>
      <w:r w:rsidR="00483C3A">
        <w:fldChar w:fldCharType="end"/>
      </w:r>
      <w:r w:rsidR="00483C3A">
        <w:t xml:space="preserve"> shows the result of such a transformation on the sentence illustrated in </w:t>
      </w:r>
      <w:r w:rsidR="00483C3A">
        <w:fldChar w:fldCharType="begin"/>
      </w:r>
      <w:r w:rsidR="00483C3A">
        <w:instrText xml:space="preserve"> REF _Ref270080747 \h </w:instrText>
      </w:r>
      <w:r w:rsidR="00483C3A">
        <w:fldChar w:fldCharType="separate"/>
      </w:r>
      <w:r w:rsidR="00B1472A">
        <w:t xml:space="preserve">Sample </w:t>
      </w:r>
      <w:r w:rsidR="00B1472A">
        <w:rPr>
          <w:noProof/>
        </w:rPr>
        <w:t>2</w:t>
      </w:r>
      <w:r w:rsidR="00483C3A">
        <w:fldChar w:fldCharType="end"/>
      </w:r>
      <w:r w:rsidR="00483C3A">
        <w:t>.</w:t>
      </w:r>
    </w:p>
    <w:p w:rsidR="000E433A" w:rsidRDefault="000E433A" w:rsidP="000E433A">
      <w:pPr>
        <w:pBdr>
          <w:top w:val="single" w:sz="4" w:space="1" w:color="auto"/>
          <w:left w:val="single" w:sz="4" w:space="4" w:color="auto"/>
          <w:bottom w:val="single" w:sz="4" w:space="1" w:color="auto"/>
          <w:right w:val="single" w:sz="4" w:space="4" w:color="auto"/>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84691F" w:rsidRPr="000E433A" w:rsidRDefault="0084691F" w:rsidP="0084691F">
      <w:pPr>
        <w:pStyle w:val="Caption"/>
        <w:rPr>
          <w:rFonts w:ascii="Consolas" w:hAnsi="Consolas"/>
          <w:sz w:val="20"/>
        </w:rPr>
      </w:pPr>
      <w:bookmarkStart w:id="71" w:name="_Ref270164724"/>
      <w:r>
        <w:t xml:space="preserve">Sample </w:t>
      </w:r>
      <w:r>
        <w:fldChar w:fldCharType="begin"/>
      </w:r>
      <w:r>
        <w:instrText xml:space="preserve"> SEQ Sample \* ARABIC </w:instrText>
      </w:r>
      <w:r>
        <w:fldChar w:fldCharType="separate"/>
      </w:r>
      <w:r w:rsidR="00B1472A">
        <w:rPr>
          <w:noProof/>
        </w:rPr>
        <w:t>3</w:t>
      </w:r>
      <w:r>
        <w:fldChar w:fldCharType="end"/>
      </w:r>
      <w:bookmarkEnd w:id="71"/>
      <w:r>
        <w:t xml:space="preserve"> - a string representation as used for regular expression matching</w:t>
      </w:r>
    </w:p>
    <w:p w:rsidR="007C7AF5" w:rsidRDefault="00EF415C" w:rsidP="00873E62">
      <w:r>
        <w:t xml:space="preserve">The NLTK implementation also pre-processes regular expressions before </w:t>
      </w:r>
      <w:r w:rsidR="00744A59">
        <w:t>compilation</w:t>
      </w:r>
      <w:r>
        <w:t>. This pre-processing results in cleaner regular expressions,</w:t>
      </w:r>
      <w:r w:rsidR="003050B6">
        <w:t xml:space="preserve"> as</w:t>
      </w:r>
      <w:r>
        <w:t xml:space="preserve"> quantifying </w:t>
      </w:r>
      <w:proofErr w:type="gramStart"/>
      <w:r w:rsidR="003050B6">
        <w:t xml:space="preserve">the </w:t>
      </w:r>
      <w:r w:rsidR="003050B6" w:rsidRPr="003050B6">
        <w:rPr>
          <w:rStyle w:val="Code"/>
        </w:rPr>
        <w:t>.</w:t>
      </w:r>
      <w:proofErr w:type="gramEnd"/>
      <w:r w:rsidR="003050B6">
        <w:t xml:space="preserve"> </w:t>
      </w:r>
      <w:proofErr w:type="gramStart"/>
      <w:r w:rsidR="003050B6">
        <w:t>character</w:t>
      </w:r>
      <w:proofErr w:type="gramEnd"/>
      <w:r w:rsidR="003050B6">
        <w:t xml:space="preserve"> will not result in an expression which matches across tag boundaries</w:t>
      </w:r>
      <w:r>
        <w:t xml:space="preserve">, </w:t>
      </w:r>
      <w:r w:rsidR="003050B6">
        <w:t>i.e</w:t>
      </w:r>
      <w:r>
        <w:t xml:space="preserve">., a regular expression </w:t>
      </w:r>
      <w:r w:rsidRPr="003050B6">
        <w:rPr>
          <w:rStyle w:val="Code"/>
        </w:rPr>
        <w:t>&lt;.*&gt;</w:t>
      </w:r>
      <w:r>
        <w:t xml:space="preserve"> will only match exactly one token, despite the greedy nature of the </w:t>
      </w:r>
      <w:r w:rsidRPr="003050B6">
        <w:rPr>
          <w:rStyle w:val="Code"/>
        </w:rPr>
        <w:t>*</w:t>
      </w:r>
      <w:r w:rsidR="002E3237">
        <w:t xml:space="preserve"> operator.</w:t>
      </w:r>
      <w:r w:rsidR="007C7AF5">
        <w:t xml:space="preserve"> This pre-processing introduces the restriction where expressions cannot match across word boundaries.</w:t>
      </w:r>
    </w:p>
    <w:p w:rsidR="00EF415C" w:rsidRDefault="007C7AF5" w:rsidP="00873E62">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365E73" w:rsidRDefault="00365E73" w:rsidP="00873E62">
      <w:r>
        <w:t xml:space="preserve">This pre-processing of regular expressions also allows </w:t>
      </w:r>
      <w:r w:rsidR="00E87C5D">
        <w:t>for the introduction other conveniences</w:t>
      </w:r>
      <w:r>
        <w:t xml:space="preserve">. </w:t>
      </w:r>
      <w:r w:rsidR="00F970F4">
        <w:t xml:space="preserve">GUTime abstracted out common groups of words that appeared together to allow </w:t>
      </w:r>
      <w:r w:rsidR="00CD2746">
        <w:t>regular expressions to be shorter</w:t>
      </w:r>
      <w:r w:rsidR="00F970F4">
        <w:t xml:space="preserve">. TERNIP retains this functionality by replacing these pre-defined identifiers with some regular expression. These identifiers and their </w:t>
      </w:r>
      <w:r w:rsidR="00CD2746">
        <w:t>description</w:t>
      </w:r>
      <w:r w:rsidR="00F970F4">
        <w:t xml:space="preserve"> are:</w:t>
      </w:r>
    </w:p>
    <w:p w:rsidR="00F970F4" w:rsidRDefault="003F20E2" w:rsidP="00D36E6B">
      <w:pPr>
        <w:pStyle w:val="ListParagraph"/>
        <w:numPr>
          <w:ilvl w:val="0"/>
          <w:numId w:val="6"/>
        </w:numPr>
      </w:pPr>
      <w:r w:rsidRPr="004F4687">
        <w:rPr>
          <w:rStyle w:val="Code"/>
        </w:rPr>
        <w:t>$ORDINAL_WORDS</w:t>
      </w:r>
      <w:r>
        <w:t xml:space="preserve"> – ordinal values in word form (e.g., first, second, </w:t>
      </w:r>
      <w:r w:rsidR="00FA0803">
        <w:t>etc.</w:t>
      </w:r>
      <w:r>
        <w:t>);</w:t>
      </w:r>
    </w:p>
    <w:p w:rsidR="00F970F4" w:rsidRDefault="00F970F4" w:rsidP="00D36E6B">
      <w:pPr>
        <w:pStyle w:val="ListParagraph"/>
        <w:numPr>
          <w:ilvl w:val="0"/>
          <w:numId w:val="6"/>
        </w:numPr>
      </w:pPr>
      <w:r w:rsidRPr="004F4687">
        <w:rPr>
          <w:rStyle w:val="Code"/>
        </w:rPr>
        <w:t>$ORDINAL_NUMS</w:t>
      </w:r>
      <w:r>
        <w:t xml:space="preserve"> </w:t>
      </w:r>
      <w:r w:rsidR="003F20E2">
        <w:t>–</w:t>
      </w:r>
      <w:r>
        <w:t xml:space="preserve"> </w:t>
      </w:r>
      <w:r w:rsidR="003F20E2">
        <w:t xml:space="preserve">ordinal values in number form (e.g., 1st, 2nd, </w:t>
      </w:r>
      <w:r w:rsidR="00FA0803">
        <w:t>etc.</w:t>
      </w:r>
      <w:r w:rsidR="003F20E2">
        <w:t>);</w:t>
      </w:r>
    </w:p>
    <w:p w:rsidR="00F970F4" w:rsidRDefault="00F970F4" w:rsidP="00D36E6B">
      <w:pPr>
        <w:pStyle w:val="ListParagraph"/>
        <w:numPr>
          <w:ilvl w:val="0"/>
          <w:numId w:val="6"/>
        </w:numPr>
      </w:pPr>
      <w:r w:rsidRPr="004F4687">
        <w:rPr>
          <w:rStyle w:val="Code"/>
        </w:rPr>
        <w:t>$DAYS</w:t>
      </w:r>
      <w:r>
        <w:t xml:space="preserve"> </w:t>
      </w:r>
      <w:r w:rsidR="003F20E2">
        <w:t>–</w:t>
      </w:r>
      <w:r>
        <w:t xml:space="preserve"> day</w:t>
      </w:r>
      <w:r w:rsidR="003F20E2">
        <w:t xml:space="preserve"> </w:t>
      </w:r>
      <w:r>
        <w:t>names</w:t>
      </w:r>
      <w:r w:rsidR="003F20E2">
        <w:t xml:space="preserve"> (e.g., Monday, Wednesday);</w:t>
      </w:r>
    </w:p>
    <w:p w:rsidR="00F970F4" w:rsidRDefault="00F970F4" w:rsidP="00D36E6B">
      <w:pPr>
        <w:pStyle w:val="ListParagraph"/>
        <w:numPr>
          <w:ilvl w:val="0"/>
          <w:numId w:val="6"/>
        </w:numPr>
      </w:pPr>
      <w:r w:rsidRPr="004F4687">
        <w:rPr>
          <w:rStyle w:val="Code"/>
        </w:rPr>
        <w:t>$MONTHS</w:t>
      </w:r>
      <w:r>
        <w:t xml:space="preserve"> </w:t>
      </w:r>
      <w:r w:rsidR="003F20E2">
        <w:t>–</w:t>
      </w:r>
      <w:r>
        <w:t xml:space="preserve"> month</w:t>
      </w:r>
      <w:r w:rsidR="003F20E2">
        <w:t xml:space="preserve"> </w:t>
      </w:r>
      <w:r>
        <w:t>names</w:t>
      </w:r>
      <w:r w:rsidR="003F20E2">
        <w:t xml:space="preserve"> (e.g., February, December);</w:t>
      </w:r>
    </w:p>
    <w:p w:rsidR="00F970F4" w:rsidRDefault="00F970F4" w:rsidP="00D36E6B">
      <w:pPr>
        <w:pStyle w:val="ListParagraph"/>
        <w:numPr>
          <w:ilvl w:val="0"/>
          <w:numId w:val="6"/>
        </w:numPr>
      </w:pPr>
      <w:r w:rsidRPr="004F4687">
        <w:rPr>
          <w:rStyle w:val="Code"/>
        </w:rPr>
        <w:t>$MONTH_ABBRS</w:t>
      </w:r>
      <w:r>
        <w:t xml:space="preserve"> </w:t>
      </w:r>
      <w:r w:rsidR="003F20E2">
        <w:t>–</w:t>
      </w:r>
      <w:r>
        <w:t xml:space="preserve"> three</w:t>
      </w:r>
      <w:r w:rsidR="003F20E2">
        <w:t>-</w:t>
      </w:r>
      <w:r>
        <w:t>letter abbreviations of month names</w:t>
      </w:r>
      <w:r w:rsidR="003F20E2">
        <w:t xml:space="preserve"> (e.g., Feb, Dec);</w:t>
      </w:r>
    </w:p>
    <w:p w:rsidR="00F970F4" w:rsidRDefault="00F970F4" w:rsidP="00D36E6B">
      <w:pPr>
        <w:pStyle w:val="ListParagraph"/>
        <w:numPr>
          <w:ilvl w:val="0"/>
          <w:numId w:val="6"/>
        </w:numPr>
      </w:pPr>
      <w:r w:rsidRPr="004F4687">
        <w:rPr>
          <w:rStyle w:val="Code"/>
        </w:rPr>
        <w:t>$RELATIVE_DAYS</w:t>
      </w:r>
      <w:r>
        <w:t xml:space="preserve"> </w:t>
      </w:r>
      <w:r w:rsidR="003F20E2">
        <w:t>–</w:t>
      </w:r>
      <w:r>
        <w:t xml:space="preserve"> relative</w:t>
      </w:r>
      <w:r w:rsidR="003F20E2">
        <w:t xml:space="preserve"> expressions of day granularity (e.g., today, tomorrow, yesterday)</w:t>
      </w:r>
      <w:r w:rsidR="008124CE">
        <w:t>;</w:t>
      </w:r>
    </w:p>
    <w:p w:rsidR="00F970F4" w:rsidRDefault="00F970F4" w:rsidP="00D36E6B">
      <w:pPr>
        <w:pStyle w:val="ListParagraph"/>
        <w:numPr>
          <w:ilvl w:val="0"/>
          <w:numId w:val="6"/>
        </w:numPr>
      </w:pPr>
      <w:r w:rsidRPr="004F4687">
        <w:rPr>
          <w:rStyle w:val="Code"/>
        </w:rPr>
        <w:t>$NTH_DOW_HOLIDAYS</w:t>
      </w:r>
      <w:r w:rsidR="00BA678C">
        <w:t xml:space="preserve"> – holidays which always occur on the same day, in the nth week of a particular month (e.g., </w:t>
      </w:r>
      <w:proofErr w:type="spellStart"/>
      <w:r w:rsidR="00BA678C">
        <w:t>Labor</w:t>
      </w:r>
      <w:proofErr w:type="spellEnd"/>
      <w:r w:rsidR="00BA678C">
        <w:t xml:space="preserve"> Day, Mother’s Day)</w:t>
      </w:r>
      <w:r w:rsidR="008124CE">
        <w:t>;</w:t>
      </w:r>
    </w:p>
    <w:p w:rsidR="00F970F4" w:rsidRDefault="00F970F4" w:rsidP="00D36E6B">
      <w:pPr>
        <w:pStyle w:val="ListParagraph"/>
        <w:numPr>
          <w:ilvl w:val="0"/>
          <w:numId w:val="6"/>
        </w:numPr>
      </w:pPr>
      <w:r w:rsidRPr="004F4687">
        <w:rPr>
          <w:rStyle w:val="Code"/>
        </w:rPr>
        <w:lastRenderedPageBreak/>
        <w:t>$FIXED_HOLIDAYS</w:t>
      </w:r>
      <w:r>
        <w:t xml:space="preserve"> </w:t>
      </w:r>
      <w:r w:rsidR="00BA678C">
        <w:t>–</w:t>
      </w:r>
      <w:r>
        <w:t xml:space="preserve"> holidays</w:t>
      </w:r>
      <w:r w:rsidR="00BA678C">
        <w:t xml:space="preserve"> </w:t>
      </w:r>
      <w:r>
        <w:t>which have a fixed date</w:t>
      </w:r>
      <w:r w:rsidR="00BA678C">
        <w:t xml:space="preserve"> (e.g., New Year, Valentine’s Day)</w:t>
      </w:r>
      <w:r w:rsidR="008124CE">
        <w:t>;</w:t>
      </w:r>
    </w:p>
    <w:p w:rsidR="008575D9" w:rsidRDefault="00BA678C" w:rsidP="00D36E6B">
      <w:pPr>
        <w:pStyle w:val="ListParagraph"/>
        <w:numPr>
          <w:ilvl w:val="0"/>
          <w:numId w:val="6"/>
        </w:numPr>
      </w:pPr>
      <w:proofErr w:type="gramStart"/>
      <w:r w:rsidRPr="004F4687">
        <w:rPr>
          <w:rStyle w:val="Code"/>
        </w:rPr>
        <w:t>$LUNAR_HOLIDAYS</w:t>
      </w:r>
      <w:r>
        <w:t xml:space="preserve"> – holidays </w:t>
      </w:r>
      <w:r w:rsidR="00F970F4">
        <w:t>which are relative to Easter</w:t>
      </w:r>
      <w:r>
        <w:t xml:space="preserve"> (e.g., Palm Sunday, Good Friday, </w:t>
      </w:r>
      <w:r w:rsidR="00FA0803">
        <w:t>etc.</w:t>
      </w:r>
      <w:r>
        <w:t>)</w:t>
      </w:r>
      <w:r w:rsidR="008124CE">
        <w:t>.</w:t>
      </w:r>
      <w:proofErr w:type="gramEnd"/>
    </w:p>
    <w:p w:rsidR="00457C58" w:rsidRDefault="00FB68C3" w:rsidP="00FB68C3">
      <w:r>
        <w:t xml:space="preserve">Additionally, rules can also be set to present strings that have number sequences marked up to allow for easy matching of such constructs. When this option is activated, the first number in a number sequence is preceded by </w:t>
      </w:r>
      <w:r w:rsidR="004C673E">
        <w:t>the</w:t>
      </w:r>
      <w:r>
        <w:t xml:space="preserve"> special identifier </w:t>
      </w:r>
      <w:r w:rsidRPr="004C673E">
        <w:rPr>
          <w:rStyle w:val="Code"/>
        </w:rPr>
        <w:t>NUM_START</w:t>
      </w:r>
      <w:r w:rsidR="004C673E">
        <w:rPr>
          <w:rStyle w:val="Code"/>
        </w:rPr>
        <w:t>,</w:t>
      </w:r>
      <w:r>
        <w:t xml:space="preserve"> and the final number in the sequence by </w:t>
      </w:r>
      <w:r w:rsidRPr="004C673E">
        <w:rPr>
          <w:rStyle w:val="Code"/>
        </w:rPr>
        <w:t>NUM_END</w:t>
      </w:r>
      <w:r w:rsidR="00457C58" w:rsidRPr="00457C58">
        <w:t>, e.g., “twenty four” would be presented as</w:t>
      </w:r>
      <w:r w:rsidR="00457C58">
        <w:rPr>
          <w:rStyle w:val="Code"/>
        </w:rPr>
        <w:t xml:space="preserve"> NUM_START&lt;</w:t>
      </w:r>
      <w:proofErr w:type="spellStart"/>
      <w:r w:rsidR="00457C58">
        <w:rPr>
          <w:rStyle w:val="Code"/>
        </w:rPr>
        <w:t>twenty~CD</w:t>
      </w:r>
      <w:proofErr w:type="spellEnd"/>
      <w:r w:rsidR="00457C58">
        <w:rPr>
          <w:rStyle w:val="Code"/>
        </w:rPr>
        <w:t>&gt;&lt;</w:t>
      </w:r>
      <w:proofErr w:type="spellStart"/>
      <w:r w:rsidR="00457C58">
        <w:rPr>
          <w:rStyle w:val="Code"/>
        </w:rPr>
        <w:t>four~CD</w:t>
      </w:r>
      <w:proofErr w:type="spellEnd"/>
      <w:r w:rsidR="00457C58">
        <w:rPr>
          <w:rStyle w:val="Code"/>
        </w:rPr>
        <w:t>&gt;NUM_END</w:t>
      </w:r>
      <w:r>
        <w:t>.</w:t>
      </w:r>
      <w:r w:rsidR="00457C58">
        <w:t xml:space="preserve"> Where the number sequence is an ordinal (e.g., “eighty fifth”), the markers </w:t>
      </w:r>
      <w:r w:rsidR="00457C58" w:rsidRPr="00457C58">
        <w:rPr>
          <w:rStyle w:val="Code"/>
        </w:rPr>
        <w:t>NUM_ORD_START</w:t>
      </w:r>
      <w:r w:rsidR="00457C58">
        <w:t xml:space="preserve"> and </w:t>
      </w:r>
      <w:r w:rsidR="00457C58" w:rsidRPr="00457C58">
        <w:rPr>
          <w:rStyle w:val="Code"/>
        </w:rPr>
        <w:t>NUM_ORD_END</w:t>
      </w:r>
      <w:r w:rsidR="00457C58">
        <w:t xml:space="preserve"> are used (e.g., </w:t>
      </w:r>
      <w:r w:rsidR="00457C58" w:rsidRPr="00457C58">
        <w:rPr>
          <w:rStyle w:val="Code"/>
        </w:rPr>
        <w:t>NUM_ORD_START&lt;</w:t>
      </w:r>
      <w:proofErr w:type="spellStart"/>
      <w:r w:rsidR="00457C58" w:rsidRPr="00457C58">
        <w:rPr>
          <w:rStyle w:val="Code"/>
        </w:rPr>
        <w:t>eighty~CD</w:t>
      </w:r>
      <w:proofErr w:type="spellEnd"/>
      <w:r w:rsidR="00457C58" w:rsidRPr="00457C58">
        <w:rPr>
          <w:rStyle w:val="Code"/>
        </w:rPr>
        <w:t>&gt;</w:t>
      </w:r>
      <w:r w:rsidR="00457C58">
        <w:rPr>
          <w:rStyle w:val="Code"/>
        </w:rPr>
        <w:t xml:space="preserve"> </w:t>
      </w:r>
      <w:r w:rsidR="00457C58" w:rsidRPr="00457C58">
        <w:rPr>
          <w:rStyle w:val="Code"/>
        </w:rPr>
        <w:t>&lt;</w:t>
      </w:r>
      <w:proofErr w:type="spellStart"/>
      <w:r w:rsidR="00457C58" w:rsidRPr="00457C58">
        <w:rPr>
          <w:rStyle w:val="Code"/>
        </w:rPr>
        <w:t>fifth~CD</w:t>
      </w:r>
      <w:proofErr w:type="spellEnd"/>
      <w:r w:rsidR="00457C58" w:rsidRPr="00457C58">
        <w:rPr>
          <w:rStyle w:val="Code"/>
        </w:rPr>
        <w:t>&gt;NUM_ORD_END</w:t>
      </w:r>
      <w:r w:rsidR="00457C58">
        <w:t>).</w:t>
      </w:r>
    </w:p>
    <w:p w:rsidR="00FB68C3" w:rsidRDefault="004C673E" w:rsidP="00FB68C3">
      <w:r>
        <w:t xml:space="preserve">An additional exception here is when the matching </w:t>
      </w:r>
      <w:proofErr w:type="gramStart"/>
      <w:r>
        <w:t xml:space="preserve">character </w:t>
      </w:r>
      <w:r w:rsidRPr="00457C58">
        <w:rPr>
          <w:rStyle w:val="Code"/>
        </w:rPr>
        <w:t>.</w:t>
      </w:r>
      <w:proofErr w:type="gramEnd"/>
      <w:r>
        <w:t xml:space="preserve"> </w:t>
      </w:r>
      <w:proofErr w:type="gramStart"/>
      <w:r>
        <w:t>is</w:t>
      </w:r>
      <w:proofErr w:type="gramEnd"/>
      <w:r>
        <w:t xml:space="preserve"> immediately preceded by </w:t>
      </w:r>
      <w:r w:rsidRPr="00457C58">
        <w:rPr>
          <w:rStyle w:val="Code"/>
        </w:rPr>
        <w:t>NUM_START</w:t>
      </w:r>
      <w:r>
        <w:t xml:space="preserve"> (or </w:t>
      </w:r>
      <w:r w:rsidRPr="00457C58">
        <w:rPr>
          <w:rStyle w:val="Code"/>
        </w:rPr>
        <w:t>NUM_ORD_START</w:t>
      </w:r>
      <w:r>
        <w:t>) it will match the entire extent of the number sequence in a non-greedy fashion, but crossing word boundaries, which the NLTK pre-processing usually disallows.</w:t>
      </w:r>
    </w:p>
    <w:p w:rsidR="008575D9" w:rsidRDefault="00B50228" w:rsidP="008575D9">
      <w:r>
        <w:t>Rules can also define</w:t>
      </w:r>
      <w:r w:rsidR="00C67270">
        <w:t xml:space="preserve"> a “squelch” option, which alters the rule into one </w:t>
      </w:r>
      <w:r w:rsidR="008124CE">
        <w:t>that</w:t>
      </w:r>
      <w:r w:rsidR="00C67270">
        <w:t xml:space="preserve"> removes t</w:t>
      </w:r>
      <w:r w:rsidR="008575D9">
        <w:t>imexes from the matching extent and</w:t>
      </w:r>
      <w:r w:rsidR="00C67270">
        <w:t xml:space="preserve"> </w:t>
      </w:r>
      <w:r>
        <w:t>a</w:t>
      </w:r>
      <w:r w:rsidR="00807A7E">
        <w:t xml:space="preserve">n option </w:t>
      </w:r>
      <w:r w:rsidR="008124CE">
        <w:t>that</w:t>
      </w:r>
      <w:r w:rsidR="00807A7E">
        <w:t xml:space="preserve"> defines</w:t>
      </w:r>
      <w:r w:rsidR="00C67270">
        <w:t xml:space="preserve"> </w:t>
      </w:r>
      <w:r w:rsidR="008124CE">
        <w:t>whether</w:t>
      </w:r>
      <w:r w:rsidR="00C67270">
        <w:t xml:space="preserve"> regular</w:t>
      </w:r>
      <w:r w:rsidR="008575D9">
        <w:t xml:space="preserve"> expressions are case-sensitive</w:t>
      </w:r>
      <w:r w:rsidR="00B33ACB">
        <w:t xml:space="preserve"> (i.e., </w:t>
      </w:r>
      <w:r w:rsidR="00B33ACB" w:rsidRPr="00ED596F">
        <w:rPr>
          <w:rStyle w:val="Code"/>
        </w:rPr>
        <w:t>NUM_START.*NUM_END</w:t>
      </w:r>
      <w:r w:rsidR="00B33ACB">
        <w:t xml:space="preserve"> will match a</w:t>
      </w:r>
      <w:r w:rsidR="005D2A19">
        <w:t xml:space="preserve"> single</w:t>
      </w:r>
      <w:r w:rsidR="00B33ACB">
        <w:t xml:space="preserve"> number sequence</w:t>
      </w:r>
      <w:r w:rsidR="005D2A19">
        <w:t>, regardless of how many tokens it contains).</w:t>
      </w:r>
    </w:p>
    <w:p w:rsidR="009F7A4B" w:rsidRDefault="00C213A4" w:rsidP="00873E62">
      <w:r>
        <w:t>Rule execution by the</w:t>
      </w:r>
      <w:r w:rsidR="009F7A4B">
        <w:t xml:space="preserve"> rule engine </w:t>
      </w:r>
      <w:proofErr w:type="gramStart"/>
      <w:r>
        <w:t>proceeds</w:t>
      </w:r>
      <w:proofErr w:type="gramEnd"/>
      <w:r>
        <w:t xml:space="preserve"> one sentence at a time</w:t>
      </w:r>
      <w:r w:rsidR="00EE7733">
        <w:t>. O</w:t>
      </w:r>
      <w:r>
        <w:t xml:space="preserve">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w:t>
      </w:r>
      <w:r w:rsidR="00EE7733">
        <w:t>s would always fail on these ru</w:t>
      </w:r>
      <w:r w:rsidR="008A37E9">
        <w:t>l</w:t>
      </w:r>
      <w:r w:rsidR="00EE7733">
        <w:t>e</w:t>
      </w:r>
      <w:r w:rsidR="008A37E9">
        <w:t>s, leaving rules in the circle always stuck in the non-executed state in the rule list), then upon rule loading, these</w:t>
      </w:r>
      <w:r w:rsidR="00EE7733">
        <w:t xml:space="preserve"> type of</w:t>
      </w:r>
      <w:r w:rsidR="008A37E9">
        <w:t xml:space="preserve"> dependencies are checked for.</w:t>
      </w:r>
    </w:p>
    <w:p w:rsidR="009F7A4B" w:rsidRDefault="009F7A4B" w:rsidP="00873E62">
      <w:r>
        <w:t>If the ordering precondition fails, then the rule is marked as not executed</w:t>
      </w:r>
      <w:r w:rsidR="00F70E29">
        <w:t>, left in the list for future iterations until its dependencies have been satisfied. Therefore, the largest number of iterations of the rule list needed is the size of the longest chain of dependencies.</w:t>
      </w:r>
    </w:p>
    <w:p w:rsidR="009F7A4B" w:rsidRDefault="00927E69" w:rsidP="00873E62">
      <w:r>
        <w:t xml:space="preserve">Each rule can (optionally) have an ID, which </w:t>
      </w:r>
      <w:r w:rsidR="00C67270">
        <w:t>can be referred</w:t>
      </w:r>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lastRenderedPageBreak/>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 Once this guard has passed, the ‘Match’ regular expression is applied to discover potential timex extents within the sentence. As a final step, two further sets of guards are checked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B81B4D" w:rsidRDefault="004F1DC3" w:rsidP="00873E62">
      <w:r>
        <w:t>Following the success of all of these preconditions, then a new timex object is created, with the type indicated in the rule definition</w:t>
      </w:r>
      <w:r w:rsidR="00DC7B9F">
        <w:t xml:space="preserve">, covering the extent of the tokens that are matched. Because of this working on a token level, regular expressions are expected to belong to whole tokens, e.g., a regular expression which simply matches on the word “today” must contain the token delimiters: </w:t>
      </w:r>
      <w:r w:rsidR="00DC7B9F" w:rsidRPr="00DC7B9F">
        <w:rPr>
          <w:rStyle w:val="Code"/>
        </w:rPr>
        <w:t>&lt;today~.+&gt;</w:t>
      </w:r>
      <w:r w:rsidR="00DC7B9F">
        <w:t>, otherwise the timex will not correctly annotate the whole timex.</w:t>
      </w:r>
    </w:p>
    <w:p w:rsidR="00807A7E" w:rsidRDefault="00807A7E" w:rsidP="00807A7E">
      <w:pPr>
        <w:pStyle w:val="Heading3"/>
      </w:pPr>
      <w:bookmarkStart w:id="72" w:name="_Ref270082191"/>
      <w:r>
        <w:t>Simple Rule Files</w:t>
      </w:r>
      <w:bookmarkEnd w:id="72"/>
    </w:p>
    <w:p w:rsidR="00457C58" w:rsidRDefault="00807A7E" w:rsidP="00807A7E">
      <w:r>
        <w:t xml:space="preserve">Although rules </w:t>
      </w:r>
      <w:r w:rsidR="006C5BE3">
        <w:t xml:space="preserve">the </w:t>
      </w:r>
      <w:proofErr w:type="spellStart"/>
      <w:r w:rsidR="006C5BE3" w:rsidRPr="00807A7E">
        <w:rPr>
          <w:rStyle w:val="Code"/>
        </w:rPr>
        <w:t>ternip.rule_engine.recognition_rule</w:t>
      </w:r>
      <w:proofErr w:type="spellEnd"/>
      <w:r w:rsidR="006C5BE3">
        <w:t xml:space="preserve"> class allows </w:t>
      </w:r>
      <w:r w:rsidR="00FA0803">
        <w:t>rules</w:t>
      </w:r>
      <w:r w:rsidR="006C5BE3">
        <w:t xml:space="preserve"> to be created</w:t>
      </w:r>
      <w:r>
        <w:t xml:space="preserve"> programmatically, an easier way to define rules is provided by loading and parsing text files containing rule definitions.</w:t>
      </w:r>
    </w:p>
    <w:p w:rsidR="00EB6EAC" w:rsidRDefault="00457C58" w:rsidP="00807A7E">
      <w:r>
        <w:t xml:space="preserve">Each line </w:t>
      </w:r>
      <w:r w:rsidR="0097122E">
        <w:t xml:space="preserve">starts with a key defining how the value should be considered, followed by a colon and then the value itself. Whitespace between the colon and the start of the value is disregarded, as well as trailing whitespace on the line. </w:t>
      </w:r>
      <w:r w:rsidR="00EB6EAC">
        <w:t>Additionally, rule files support comment lines. If a line starts with a single hash (</w:t>
      </w:r>
      <w:r w:rsidR="00EB6EAC" w:rsidRPr="00EB6EAC">
        <w:rPr>
          <w:rStyle w:val="Code"/>
        </w:rPr>
        <w:t>#</w:t>
      </w:r>
      <w:r w:rsidR="00EB6EAC">
        <w:t>), then the rest of that line is ignored and considered a comment.</w:t>
      </w:r>
    </w:p>
    <w:p w:rsidR="00EB6EAC" w:rsidRDefault="00EB6EAC" w:rsidP="00807A7E">
      <w:r>
        <w:t>Rule file parsing is strict, and malformed rule files result in an error being raised by the rule engine and the rule failing to load. In order to aid with debugging, if multiple rules are being loaded at once (for example, from a directory of rules)</w:t>
      </w:r>
      <w:r w:rsidR="00FA0803">
        <w:t>;</w:t>
      </w:r>
      <w:r>
        <w:t xml:space="preserve"> the errors raised are delayed until all rules have been attempted to load, to give the most informative errors possible.</w:t>
      </w:r>
    </w:p>
    <w:p w:rsidR="00807A7E" w:rsidRPr="00807A7E" w:rsidRDefault="00457C58" w:rsidP="00807A7E">
      <w:r>
        <w:t xml:space="preserve">In each rule, a key can be specified once or multiple times, depending on the nature of what is being defined. Some keys can </w:t>
      </w:r>
      <w:r w:rsidR="0097122E">
        <w:t xml:space="preserve">be omitted completely, </w:t>
      </w:r>
      <w:proofErr w:type="gramStart"/>
      <w:r w:rsidR="0097122E">
        <w:t>in</w:t>
      </w:r>
      <w:proofErr w:type="gramEnd"/>
      <w:r w:rsidR="0097122E">
        <w:t xml:space="preserve"> which case a default (or no) value is defined to that attribute of the rule.</w:t>
      </w:r>
      <w:r w:rsidR="003C0B35">
        <w:t xml:space="preserve"> </w:t>
      </w:r>
      <w:r w:rsidR="00FA0803">
        <w:fldChar w:fldCharType="begin"/>
      </w:r>
      <w:r w:rsidR="00FA0803">
        <w:instrText xml:space="preserve"> REF _Ref270169329 \h </w:instrText>
      </w:r>
      <w:r w:rsidR="00FA0803">
        <w:fldChar w:fldCharType="separate"/>
      </w:r>
      <w:r w:rsidR="00B1472A">
        <w:t xml:space="preserve">Table </w:t>
      </w:r>
      <w:r w:rsidR="00B1472A">
        <w:rPr>
          <w:noProof/>
        </w:rPr>
        <w:t>2</w:t>
      </w:r>
      <w:r w:rsidR="00FA0803">
        <w:fldChar w:fldCharType="end"/>
      </w:r>
      <w:r w:rsidR="00FA0803">
        <w:t xml:space="preserve"> lists the allowed keys in the definition of a recognition rule, and how their value relates to the rule descriptions defined above. </w:t>
      </w:r>
      <w:r w:rsidR="009F73CB">
        <w:fldChar w:fldCharType="begin"/>
      </w:r>
      <w:r w:rsidR="009F73CB">
        <w:instrText xml:space="preserve"> REF _Ref270170684 \h </w:instrText>
      </w:r>
      <w:r w:rsidR="009F73CB">
        <w:fldChar w:fldCharType="separate"/>
      </w:r>
      <w:r w:rsidR="00B1472A">
        <w:t xml:space="preserve">Sample </w:t>
      </w:r>
      <w:r w:rsidR="00B1472A">
        <w:rPr>
          <w:noProof/>
        </w:rPr>
        <w:t>4</w:t>
      </w:r>
      <w:r w:rsidR="009F73CB">
        <w:fldChar w:fldCharType="end"/>
      </w:r>
      <w:r w:rsidR="009F73CB">
        <w:t xml:space="preserve"> demonstrates a minimal definition of a recognition rule.</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r w:rsidR="0097122E">
              <w:t xml:space="preserve"> Description</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rule identifier: </w:t>
            </w:r>
            <w:r w:rsidR="00296920">
              <w:t>a</w:t>
            </w:r>
            <w:r>
              <w:t>n optional string</w:t>
            </w:r>
            <w:r w:rsidR="00296920">
              <w:t xml:space="preserve"> </w:t>
            </w:r>
            <w:r w:rsidR="004D438E">
              <w:t>that</w:t>
            </w:r>
            <w:r w:rsidR="00296920">
              <w:t xml:space="preserve"> can be defined no more than once,</w:t>
            </w:r>
            <w:r>
              <w:t xml:space="preserve"> which can be referred to by other rules to express an ordering</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identifier of a rule whose execution must have preceded the execution of this rule: </w:t>
            </w:r>
            <w:r w:rsidR="00296920">
              <w:t xml:space="preserve">an optional string, </w:t>
            </w:r>
            <w:r w:rsidR="004D438E">
              <w:t>that</w:t>
            </w:r>
            <w:r w:rsidR="00296920">
              <w:t xml:space="preserve"> can be defined multiple times to define multiple dependencies</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 xml:space="preserve">The type of the expression identified by this rule: this is a string </w:t>
            </w:r>
            <w:r w:rsidR="004D438E">
              <w:t>that</w:t>
            </w:r>
            <w:r>
              <w:t xml:space="preserve">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B1472A">
              <w:t xml:space="preserve">Table </w:t>
            </w:r>
            <w:r w:rsidR="00B1472A">
              <w:rPr>
                <w:noProof/>
              </w:rPr>
              <w:t>1</w:t>
            </w:r>
            <w:r>
              <w:fldChar w:fldCharType="end"/>
            </w:r>
            <w:r>
              <w:t>)</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873E62">
            <w:r>
              <w:t>The regular expression which, for each match in a sentence, results in a timex created covering the tokens matched in this expression: this is a compulsory field that can exist only once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to enable this rule as  “squelching” rule: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the regular expressions should be matched case-sensitively: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pPr>
              <w:keepNext/>
            </w:pPr>
            <w:r>
              <w:t>Whether number sequences should be marked up in the text before being presented to a regular expression: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D438E" w:rsidP="002F51FC">
            <w:pPr>
              <w:keepNext/>
            </w:pPr>
            <w:proofErr w:type="gramStart"/>
            <w:r>
              <w:t xml:space="preserve">A sentence-level guard for this rule: an optional regular expression that can exist multiple times, which results in a conjunction of conditions, or not at all, which results in an </w:t>
            </w:r>
            <w:r w:rsidR="002F51FC">
              <w:t>always-successful</w:t>
            </w:r>
            <w:r>
              <w:t xml:space="preserve"> </w:t>
            </w:r>
            <w:r w:rsidR="002F51FC">
              <w:t>pre-condition</w:t>
            </w:r>
            <w:r>
              <w:t>.</w:t>
            </w:r>
            <w:proofErr w:type="gramEnd"/>
            <w:r>
              <w:t xml:space="preserve"> If the first character of the expression </w:t>
            </w:r>
            <w:r w:rsidR="002F51FC">
              <w:t>is an exclamation mark (</w:t>
            </w:r>
            <w:r w:rsidR="002F51FC" w:rsidRPr="002F51FC">
              <w:rPr>
                <w:rStyle w:val="Code"/>
              </w:rPr>
              <w:t>!</w:t>
            </w:r>
            <w:r w:rsidR="002F51FC">
              <w:t>), then it negates the regular expression, meaning this guard will only pass if the regular expression does not match anything in the sentence.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F51FC" w:rsidP="002F51FC">
            <w:pPr>
              <w:keepNext/>
            </w:pPr>
            <w:r>
              <w:t>The before-match guard for this rule: this follows the same format as the ‘Guard’</w:t>
            </w:r>
            <w:r w:rsidR="00BA1DEE">
              <w:t xml:space="preserve"> key</w:t>
            </w:r>
          </w:p>
        </w:tc>
      </w:tr>
      <w:tr w:rsidR="002F51FC" w:rsidTr="00873E62">
        <w:tc>
          <w:tcPr>
            <w:cnfStyle w:val="001000000000" w:firstRow="0" w:lastRow="0" w:firstColumn="1" w:lastColumn="0" w:oddVBand="0" w:evenVBand="0" w:oddHBand="0" w:evenHBand="0" w:firstRowFirstColumn="0" w:firstRowLastColumn="0" w:lastRowFirstColumn="0" w:lastRowLastColumn="0"/>
            <w:tcW w:w="2660" w:type="dxa"/>
          </w:tcPr>
          <w:p w:rsidR="002F51FC" w:rsidRDefault="002F51FC"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2F51FC" w:rsidRDefault="002F51FC" w:rsidP="002F51FC">
            <w:pPr>
              <w:keepNext/>
            </w:pPr>
            <w:r>
              <w:t>The after-match guard for this rule: this follows the same format as the ‘Guard’</w:t>
            </w:r>
            <w:r w:rsidR="00BA1DEE">
              <w:t xml:space="preserve"> key</w:t>
            </w:r>
          </w:p>
        </w:tc>
      </w:tr>
    </w:tbl>
    <w:p w:rsidR="00873E62" w:rsidRDefault="00873E62" w:rsidP="00873E62">
      <w:pPr>
        <w:pStyle w:val="Caption"/>
      </w:pPr>
      <w:bookmarkStart w:id="73" w:name="_Ref270169329"/>
      <w:r>
        <w:t xml:space="preserve">Table </w:t>
      </w:r>
      <w:r w:rsidR="005175C7">
        <w:fldChar w:fldCharType="begin"/>
      </w:r>
      <w:r w:rsidR="005175C7">
        <w:instrText xml:space="preserve"> SEQ Table \* ARABIC </w:instrText>
      </w:r>
      <w:r w:rsidR="005175C7">
        <w:fldChar w:fldCharType="separate"/>
      </w:r>
      <w:r w:rsidR="00B1472A">
        <w:rPr>
          <w:noProof/>
        </w:rPr>
        <w:t>2</w:t>
      </w:r>
      <w:r w:rsidR="005175C7">
        <w:fldChar w:fldCharType="end"/>
      </w:r>
      <w:bookmarkEnd w:id="73"/>
      <w:r>
        <w:t xml:space="preserve"> - Accepted fields in recognition rule definitions</w:t>
      </w:r>
    </w:p>
    <w:p w:rsidR="00DF78B2" w:rsidRDefault="00DF78B2" w:rsidP="009F73CB">
      <w:pPr>
        <w:pBdr>
          <w:top w:val="single" w:sz="4" w:space="1" w:color="auto"/>
          <w:left w:val="single" w:sz="4" w:space="4" w:color="auto"/>
          <w:bottom w:val="single" w:sz="4" w:space="1" w:color="auto"/>
          <w:right w:val="single" w:sz="4" w:space="4" w:color="auto"/>
        </w:pBdr>
        <w:jc w:val="left"/>
        <w:rPr>
          <w:rStyle w:val="Code"/>
        </w:rPr>
      </w:pPr>
      <w:r w:rsidRPr="00DF78B2">
        <w:rPr>
          <w:rStyle w:val="Code"/>
        </w:rPr>
        <w:t>Type: time</w:t>
      </w:r>
      <w:r w:rsidR="009F73CB">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9F73CB" w:rsidRPr="00DF78B2" w:rsidRDefault="009F73CB" w:rsidP="009F73CB">
      <w:pPr>
        <w:pStyle w:val="Caption"/>
        <w:rPr>
          <w:rStyle w:val="Code"/>
        </w:rPr>
      </w:pPr>
      <w:bookmarkStart w:id="74" w:name="_Ref270170684"/>
      <w:r>
        <w:t xml:space="preserve">Sample </w:t>
      </w:r>
      <w:r>
        <w:fldChar w:fldCharType="begin"/>
      </w:r>
      <w:r>
        <w:instrText xml:space="preserve"> SEQ Sample \* ARABIC </w:instrText>
      </w:r>
      <w:r>
        <w:fldChar w:fldCharType="separate"/>
      </w:r>
      <w:r w:rsidR="00B1472A">
        <w:rPr>
          <w:noProof/>
        </w:rPr>
        <w:t>4</w:t>
      </w:r>
      <w:r>
        <w:fldChar w:fldCharType="end"/>
      </w:r>
      <w:bookmarkEnd w:id="74"/>
      <w:r>
        <w:t xml:space="preserve"> - a minimal definition of a single recognition rule</w:t>
      </w:r>
    </w:p>
    <w:p w:rsidR="00E324CF" w:rsidRDefault="00807A7E" w:rsidP="00807A7E">
      <w:r>
        <w:t xml:space="preserve">In addition to this format, which allows one rule per file, the concept of “rule blocks” is also present. These blocks allow for an easier expression of </w:t>
      </w:r>
      <w:r w:rsidR="006C5BE3">
        <w:t>ordering</w:t>
      </w:r>
      <w:r w:rsidR="00C213A4">
        <w:t xml:space="preserve"> and for execution conditional on failure of all previous rules in the block.</w:t>
      </w:r>
    </w:p>
    <w:p w:rsidR="00E324CF" w:rsidRDefault="00E324CF" w:rsidP="00807A7E">
      <w:r>
        <w:lastRenderedPageBreak/>
        <w:t xml:space="preserve">Rule blocks follow a similar format to single rules, but allow for multiple rules in a file separated by three dashes: </w:t>
      </w:r>
      <w:r w:rsidRPr="00E324CF">
        <w:rPr>
          <w:rStyle w:val="Code"/>
        </w:rPr>
        <w:t>---</w:t>
      </w:r>
      <w:r w:rsidRPr="00E324CF">
        <w:t xml:space="preserve">. </w:t>
      </w:r>
      <w:r>
        <w:t xml:space="preserve">Additionally, the first section of a rule block is </w:t>
      </w:r>
      <w:r w:rsidR="005D0C65">
        <w:t>the</w:t>
      </w:r>
      <w:r w:rsidR="006C5BE3">
        <w:t xml:space="preserve"> header of the rule block, which</w:t>
      </w:r>
      <w:r>
        <w:t xml:space="preserve"> </w:t>
      </w:r>
      <w:r w:rsidR="006C5BE3">
        <w:t>indicates</w:t>
      </w:r>
      <w:r>
        <w:t xml:space="preserve"> the type of block it is</w:t>
      </w:r>
      <w:r w:rsidR="005D0C65">
        <w:t xml:space="preserve">. </w:t>
      </w:r>
      <w:r w:rsidR="006C5BE3">
        <w:fldChar w:fldCharType="begin"/>
      </w:r>
      <w:r w:rsidR="006C5BE3">
        <w:instrText xml:space="preserve"> REF _Ref270164724 \h </w:instrText>
      </w:r>
      <w:r w:rsidR="006C5BE3">
        <w:fldChar w:fldCharType="separate"/>
      </w:r>
      <w:r w:rsidR="00B1472A">
        <w:t xml:space="preserve">Sample </w:t>
      </w:r>
      <w:r w:rsidR="00B1472A">
        <w:rPr>
          <w:noProof/>
        </w:rPr>
        <w:t>3</w:t>
      </w:r>
      <w:r w:rsidR="006C5BE3">
        <w:fldChar w:fldCharType="end"/>
      </w:r>
      <w:r w:rsidR="006C5BE3">
        <w:t xml:space="preserve"> shows a</w:t>
      </w:r>
      <w:r w:rsidR="00B968CD">
        <w:t xml:space="preserve"> sample rule block, and</w:t>
      </w:r>
      <w:r w:rsidR="006C5BE3">
        <w:t xml:space="preserve"> </w:t>
      </w:r>
      <w:r w:rsidR="006C5BE3">
        <w:fldChar w:fldCharType="begin"/>
      </w:r>
      <w:r w:rsidR="006C5BE3">
        <w:instrText xml:space="preserve"> REF _Ref270091918 \h </w:instrText>
      </w:r>
      <w:r w:rsidR="006C5BE3">
        <w:fldChar w:fldCharType="separate"/>
      </w:r>
      <w:r w:rsidR="00B1472A">
        <w:t xml:space="preserve">Table </w:t>
      </w:r>
      <w:r w:rsidR="00B1472A">
        <w:rPr>
          <w:noProof/>
        </w:rPr>
        <w:t>3</w:t>
      </w:r>
      <w:r w:rsidR="006C5BE3">
        <w:fldChar w:fldCharType="end"/>
      </w:r>
      <w:r w:rsidR="006C5BE3">
        <w:t xml:space="preserve"> shows</w:t>
      </w:r>
      <w:r w:rsidR="00B968CD">
        <w:t xml:space="preserve"> t</w:t>
      </w:r>
      <w:r w:rsidR="005D0C65">
        <w:t>he full list of acceptable values in the rule block header</w:t>
      </w:r>
      <w:r w:rsidR="003852BC">
        <w:t>.</w:t>
      </w:r>
    </w:p>
    <w:tbl>
      <w:tblPr>
        <w:tblStyle w:val="LightList1"/>
        <w:tblW w:w="0" w:type="auto"/>
        <w:tblLook w:val="00A0" w:firstRow="1" w:lastRow="0" w:firstColumn="1" w:lastColumn="0" w:noHBand="0" w:noVBand="0"/>
      </w:tblPr>
      <w:tblGrid>
        <w:gridCol w:w="1526"/>
        <w:gridCol w:w="7081"/>
      </w:tblGrid>
      <w:tr w:rsidR="00E324CF" w:rsidTr="00E3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Key</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r>
              <w:t>Value</w:t>
            </w:r>
          </w:p>
        </w:tc>
      </w:tr>
      <w:tr w:rsidR="00E324CF"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067829" w:rsidP="00807A7E">
            <w:r>
              <w:t>A string of either ‘</w:t>
            </w:r>
            <w:r w:rsidR="00912536">
              <w:t>run-all’ or ‘run-until-success’</w:t>
            </w:r>
          </w:p>
        </w:tc>
      </w:tr>
      <w:tr w:rsidR="00CC5F4A" w:rsidTr="00E324CF">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ID</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block identifier: an optional string that can be defined no more than once, which can be referred to by other rule and blocks to express an ordering</w:t>
            </w:r>
          </w:p>
        </w:tc>
      </w:tr>
      <w:tr w:rsidR="00CC5F4A"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After</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identifier of a rule or block whose execution must have preceded the execution of this block: an optional string, that can be defined multiple times to define multiple dependencies</w:t>
            </w:r>
          </w:p>
        </w:tc>
      </w:tr>
    </w:tbl>
    <w:p w:rsidR="00E324CF" w:rsidRDefault="005D0C65" w:rsidP="005D0C65">
      <w:pPr>
        <w:pStyle w:val="Caption"/>
      </w:pPr>
      <w:bookmarkStart w:id="75" w:name="_Ref270091918"/>
      <w:bookmarkStart w:id="76" w:name="_Ref270092175"/>
      <w:r>
        <w:t xml:space="preserve">Table </w:t>
      </w:r>
      <w:r>
        <w:fldChar w:fldCharType="begin"/>
      </w:r>
      <w:r>
        <w:instrText xml:space="preserve"> SEQ Table \* ARABIC </w:instrText>
      </w:r>
      <w:r>
        <w:fldChar w:fldCharType="separate"/>
      </w:r>
      <w:r w:rsidR="00B1472A">
        <w:rPr>
          <w:noProof/>
        </w:rPr>
        <w:t>3</w:t>
      </w:r>
      <w:r>
        <w:fldChar w:fldCharType="end"/>
      </w:r>
      <w:bookmarkEnd w:id="75"/>
      <w:r>
        <w:t xml:space="preserve"> - Accepted fields in rule block headers</w:t>
      </w:r>
      <w:bookmarkEnd w:id="76"/>
    </w:p>
    <w:p w:rsidR="00B51520" w:rsidRDefault="006C5E95" w:rsidP="00B51520">
      <w:r>
        <w:t xml:space="preserve">As shown </w:t>
      </w:r>
      <w:r>
        <w:fldChar w:fldCharType="begin"/>
      </w:r>
      <w:r>
        <w:instrText xml:space="preserve"> REF _Ref270092175 \p \h </w:instrText>
      </w:r>
      <w:r>
        <w:fldChar w:fldCharType="separate"/>
      </w:r>
      <w:r w:rsidR="00B1472A">
        <w:t>above</w:t>
      </w:r>
      <w:r>
        <w:fldChar w:fldCharType="end"/>
      </w:r>
      <w:r>
        <w:t>, there are two types of blocks, which differ in how rule execution proceeds. In both types, rules are executed in order from top-to-bottom as defined in the file, but with the “run-until-success” type, execution of the block ceases when a rule executes successfully (the pre-conditions pass and the ‘Match’ regular expression results in at least one match). Any proceeding rules are not executed, and the rule block returns execution control successfully to the rule engine to continue its execution plan.</w:t>
      </w:r>
    </w:p>
    <w:p w:rsidR="00B51520" w:rsidRDefault="00B51520" w:rsidP="00B51520">
      <w:r>
        <w:t xml:space="preserve">Because </w:t>
      </w:r>
      <w:r w:rsidR="006C5E95">
        <w:t xml:space="preserve">of </w:t>
      </w:r>
      <w:r>
        <w:t>the order implicit in a rule block, and that execution of a rule block proceeds atomically, explicit ordering of individual rules within the block is not permitted. Therefore, the ‘ID’ and ‘After’ keys, which are allowed in single rule files are not permitted in rules defined in rule blocks.</w:t>
      </w:r>
    </w:p>
    <w:p w:rsidR="00B23DF1" w:rsidRDefault="00B23DF1" w:rsidP="006D7295">
      <w:pPr>
        <w:pBdr>
          <w:top w:val="single" w:sz="4" w:space="1" w:color="auto"/>
          <w:left w:val="single" w:sz="4" w:space="4" w:color="auto"/>
          <w:bottom w:val="single" w:sz="4" w:space="1" w:color="auto"/>
          <w:right w:val="single" w:sz="4" w:space="4" w:color="auto"/>
        </w:pBdr>
        <w:jc w:val="left"/>
        <w:rPr>
          <w:rStyle w:val="Code"/>
        </w:rPr>
      </w:pPr>
      <w:r w:rsidRPr="006D7295">
        <w:rPr>
          <w:rStyle w:val="Code"/>
        </w:rPr>
        <w:t>Block-Type: run-all</w:t>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w:t>
      </w:r>
      <w:r w:rsidR="006D7295">
        <w:rPr>
          <w:rStyle w:val="Code"/>
        </w:rPr>
        <w:t>|late</w:t>
      </w:r>
      <w:proofErr w:type="spellEnd"/>
      <w:r w:rsidR="006D7295">
        <w:rPr>
          <w:rStyle w:val="Code"/>
        </w:rPr>
        <w:t>)~.+&gt;)?&lt;last~.+&gt;&lt;night~.+&gt;</w:t>
      </w:r>
      <w:r w:rsidR="006D7295">
        <w:rPr>
          <w:rStyle w:val="Code"/>
        </w:rPr>
        <w:br/>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early|late</w:t>
      </w:r>
      <w:proofErr w:type="spellEnd"/>
      <w:r w:rsidR="006D7295" w:rsidRPr="006D7295">
        <w:rPr>
          <w:rStyle w:val="Code"/>
        </w:rPr>
        <w:t>)~.+&gt;&lt;(</w:t>
      </w:r>
      <w:proofErr w:type="spellStart"/>
      <w:r w:rsidR="006D7295" w:rsidRPr="006D7295">
        <w:rPr>
          <w:rStyle w:val="Code"/>
        </w:rPr>
        <w:t>morning|afternoon|evening</w:t>
      </w:r>
      <w:proofErr w:type="spellEnd"/>
      <w:r w:rsidR="006D7295" w:rsidRPr="006D7295">
        <w:rPr>
          <w:rStyle w:val="Code"/>
        </w:rPr>
        <w:t>)~.+&gt;</w:t>
      </w:r>
    </w:p>
    <w:p w:rsidR="006D7295" w:rsidRPr="006D7295" w:rsidRDefault="006D7295" w:rsidP="006D7295">
      <w:pPr>
        <w:pStyle w:val="Caption"/>
        <w:rPr>
          <w:rStyle w:val="Code"/>
        </w:rPr>
      </w:pPr>
      <w:bookmarkStart w:id="77" w:name="_Ref270093042"/>
      <w:proofErr w:type="gramStart"/>
      <w:r>
        <w:t xml:space="preserve">Sample </w:t>
      </w:r>
      <w:r>
        <w:fldChar w:fldCharType="begin"/>
      </w:r>
      <w:r>
        <w:instrText xml:space="preserve"> SEQ Sample \* ARABIC </w:instrText>
      </w:r>
      <w:r>
        <w:fldChar w:fldCharType="separate"/>
      </w:r>
      <w:r w:rsidR="00B1472A">
        <w:rPr>
          <w:noProof/>
        </w:rPr>
        <w:t>5</w:t>
      </w:r>
      <w:r>
        <w:fldChar w:fldCharType="end"/>
      </w:r>
      <w:bookmarkEnd w:id="77"/>
      <w:r>
        <w:t xml:space="preserve"> - a rule block</w:t>
      </w:r>
      <w:proofErr w:type="gramEnd"/>
      <w:r>
        <w:t xml:space="preserve"> containing two rules</w:t>
      </w:r>
    </w:p>
    <w:p w:rsidR="004F1DC3" w:rsidRDefault="004F1DC3" w:rsidP="004F1DC3">
      <w:pPr>
        <w:pStyle w:val="Heading3"/>
      </w:pPr>
      <w:r>
        <w:t>Complex Rule Files</w:t>
      </w:r>
    </w:p>
    <w:p w:rsidR="004F1DC3" w:rsidRDefault="004F1DC3" w:rsidP="004F1DC3">
      <w:r>
        <w:t xml:space="preserve">For rules where the logic </w:t>
      </w:r>
      <w:r w:rsidR="004852A0">
        <w:t>cannot</w:t>
      </w:r>
      <w:r>
        <w:t xml:space="preserve"> be captured in the rule format </w:t>
      </w:r>
      <w:r w:rsidR="004852A0">
        <w:t xml:space="preserve">described </w:t>
      </w:r>
      <w:r>
        <w:t xml:space="preserve">above (for example, more complex guards than regular expressions allow), </w:t>
      </w:r>
      <w:r w:rsidR="004852A0">
        <w:t xml:space="preserve">an alternate rule format is supported, called </w:t>
      </w:r>
      <w:r>
        <w:t>complex rules</w:t>
      </w:r>
      <w:r w:rsidR="004353FF">
        <w:t>. These co</w:t>
      </w:r>
      <w:r w:rsidR="004852A0">
        <w:t xml:space="preserve">mplex rules are Python </w:t>
      </w:r>
      <w:r w:rsidR="00FA0803">
        <w:t>classes that</w:t>
      </w:r>
      <w:r w:rsidR="004852A0">
        <w:t xml:space="preserve"> implement a defined interface, and typically inherit from </w:t>
      </w:r>
      <w:proofErr w:type="spellStart"/>
      <w:r w:rsidR="004852A0" w:rsidRPr="004852A0">
        <w:rPr>
          <w:rStyle w:val="Code"/>
        </w:rPr>
        <w:t>ternip.rule_engine.rule</w:t>
      </w:r>
      <w:proofErr w:type="spellEnd"/>
      <w:r w:rsidR="004852A0">
        <w:t>, but are not required to do so</w:t>
      </w:r>
      <w:r w:rsidR="004353FF">
        <w:t>.</w:t>
      </w:r>
    </w:p>
    <w:p w:rsidR="004F1DC3" w:rsidRDefault="004852A0" w:rsidP="004F1DC3">
      <w:r>
        <w:lastRenderedPageBreak/>
        <w:t>Complex rules are written as Python files</w:t>
      </w:r>
      <w:r w:rsidR="00CF26E9">
        <w:t xml:space="preserve"> with the file extension </w:t>
      </w:r>
      <w:r w:rsidR="00CF26E9" w:rsidRPr="003D21DA">
        <w:rPr>
          <w:rStyle w:val="Code"/>
        </w:rPr>
        <w:t>.</w:t>
      </w:r>
      <w:proofErr w:type="spellStart"/>
      <w:r w:rsidR="00FA0803" w:rsidRPr="003D21DA">
        <w:rPr>
          <w:rStyle w:val="Code"/>
        </w:rPr>
        <w:t>pyrule</w:t>
      </w:r>
      <w:proofErr w:type="spellEnd"/>
      <w:r w:rsidR="00FA0803">
        <w:t>, which</w:t>
      </w:r>
      <w:r>
        <w:t xml:space="preserve"> are </w:t>
      </w:r>
      <w:r w:rsidR="00EB31AF">
        <w:t>imported</w:t>
      </w:r>
      <w:r>
        <w:t xml:space="preserve"> by the rule engine</w:t>
      </w:r>
      <w:r w:rsidR="00EB31AF">
        <w:t xml:space="preserve">, with the class named </w:t>
      </w:r>
      <w:r w:rsidR="00EB31AF" w:rsidRPr="003D21DA">
        <w:rPr>
          <w:rStyle w:val="Code"/>
        </w:rPr>
        <w:t>rule</w:t>
      </w:r>
      <w:r w:rsidR="00EB31AF">
        <w:t xml:space="preserve"> in the file instantiated and added to the list of rules.</w:t>
      </w:r>
    </w:p>
    <w:p w:rsidR="00A36553" w:rsidRDefault="00A36553" w:rsidP="004F1DC3">
      <w:r>
        <w:t>These complex rules must implement two properties and one method to be compatible with the format required by the rule engine. These two properties</w:t>
      </w:r>
      <w:r w:rsidR="003D21DA">
        <w:t xml:space="preserve"> are </w:t>
      </w:r>
      <w:r w:rsidR="003D21DA" w:rsidRPr="003D21DA">
        <w:rPr>
          <w:rStyle w:val="Code"/>
        </w:rPr>
        <w:t>id</w:t>
      </w:r>
      <w:r w:rsidR="003D21DA">
        <w:t xml:space="preserve"> and </w:t>
      </w:r>
      <w:r w:rsidR="003D21DA" w:rsidRPr="003D21DA">
        <w:rPr>
          <w:rStyle w:val="Code"/>
        </w:rPr>
        <w:t>after</w:t>
      </w:r>
      <w:r w:rsidR="003D21DA">
        <w:t xml:space="preserve">. </w:t>
      </w:r>
      <w:proofErr w:type="gramStart"/>
      <w:r w:rsidR="003D21DA" w:rsidRPr="003D21DA">
        <w:rPr>
          <w:rStyle w:val="Code"/>
        </w:rPr>
        <w:t>id</w:t>
      </w:r>
      <w:proofErr w:type="gramEnd"/>
      <w:r w:rsidR="003D21DA">
        <w:t xml:space="preserve"> is a simple string (or </w:t>
      </w:r>
      <w:r w:rsidR="003D21DA" w:rsidRPr="003D21DA">
        <w:rPr>
          <w:rStyle w:val="Code"/>
        </w:rPr>
        <w:t>None</w:t>
      </w:r>
      <w:r w:rsidR="003D21DA">
        <w:t xml:space="preserve">), holding the rule identifier, and </w:t>
      </w:r>
      <w:r w:rsidR="003D21DA" w:rsidRPr="003D21DA">
        <w:rPr>
          <w:rStyle w:val="Code"/>
        </w:rPr>
        <w:t>after</w:t>
      </w:r>
      <w:r w:rsidR="003D21DA">
        <w:t xml:space="preserve"> is a list of strings (possibly empty) of rule identifiers which must have executed </w:t>
      </w:r>
      <w:r w:rsidR="00FA0803">
        <w:t>before</w:t>
      </w:r>
      <w:r w:rsidR="003D21DA">
        <w:t xml:space="preserve"> this rule. The </w:t>
      </w:r>
      <w:r w:rsidR="00FA0803">
        <w:t>method that must be implemented</w:t>
      </w:r>
      <w:r w:rsidR="003D21DA">
        <w:t xml:space="preserve"> is </w:t>
      </w:r>
      <w:proofErr w:type="gramStart"/>
      <w:r w:rsidR="003D21DA" w:rsidRPr="003D21DA">
        <w:rPr>
          <w:rStyle w:val="Code"/>
        </w:rPr>
        <w:t>apply(</w:t>
      </w:r>
      <w:proofErr w:type="gramEnd"/>
      <w:r w:rsidR="003D21DA">
        <w:rPr>
          <w:rStyle w:val="Code"/>
        </w:rPr>
        <w:t>sentence</w:t>
      </w:r>
      <w:r w:rsidR="003D21DA" w:rsidRPr="003D21DA">
        <w:rPr>
          <w:rStyle w:val="Code"/>
        </w:rPr>
        <w:t>)</w:t>
      </w:r>
      <w:r w:rsidR="003D21DA">
        <w:t>, which is called when this rule is to be executed. This function is called when this rule is to be executed, and is called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A97CDE" w:rsidRDefault="00A97CDE" w:rsidP="00A97CDE">
      <w:pPr>
        <w:pStyle w:val="Heading3"/>
      </w:pPr>
      <w:r>
        <w:t>The GUTime Rule Set</w:t>
      </w:r>
    </w:p>
    <w:p w:rsidR="00A97CDE" w:rsidRDefault="00B97FC6" w:rsidP="00A97CDE">
      <w:r>
        <w:t>TERNIP provides</w:t>
      </w:r>
      <w:r w:rsidR="00A97CDE">
        <w:t xml:space="preserve"> with one rule set</w:t>
      </w:r>
      <w:r>
        <w:t xml:space="preserve"> for recognition</w:t>
      </w:r>
      <w:r w:rsidR="00B35E37">
        <w:t>, consisting of 72 rules</w:t>
      </w:r>
      <w:r>
        <w:t xml:space="preserve">, which consists of rules translated from the GUTime </w:t>
      </w:r>
      <w:sdt>
        <w:sdtPr>
          <w:id w:val="1270347027"/>
          <w:citation/>
        </w:sdtPr>
        <w:sdtContent>
          <w:r>
            <w:fldChar w:fldCharType="begin"/>
          </w:r>
          <w:r>
            <w:instrText xml:space="preserve"> CITATION Ver05 \l 2057 </w:instrText>
          </w:r>
          <w:r>
            <w:fldChar w:fldCharType="separate"/>
          </w:r>
          <w:r w:rsidR="00B1472A">
            <w:rPr>
              <w:noProof/>
            </w:rPr>
            <w:t>(Verhagen, et al., 2005)</w:t>
          </w:r>
          <w:r>
            <w:fldChar w:fldCharType="end"/>
          </w:r>
        </w:sdtContent>
      </w:sdt>
      <w:r>
        <w:t xml:space="preserve"> software</w:t>
      </w:r>
      <w:r w:rsidR="008562E5">
        <w:t xml:space="preserve">. </w:t>
      </w:r>
      <w:r w:rsidR="00922BF2">
        <w:t xml:space="preserve">These rules are largely regular expressions translated directly from the software by hand, with changes </w:t>
      </w:r>
      <w:r w:rsidR="00437490">
        <w:t>reflecting the differences in</w:t>
      </w:r>
      <w:r w:rsidR="00922BF2">
        <w:t xml:space="preserve"> pre-defined constant </w:t>
      </w:r>
      <w:r w:rsidR="00437490">
        <w:t>substitution and</w:t>
      </w:r>
      <w:r w:rsidR="00922BF2">
        <w:t xml:space="preserve"> the format for representing tokens. In cases </w:t>
      </w:r>
      <w:r w:rsidR="0021620E">
        <w:t>where rule execution in GUTime is guarded by an if-statement, this is implemented as a guard.</w:t>
      </w:r>
    </w:p>
    <w:p w:rsidR="00A64185" w:rsidRDefault="00A64185" w:rsidP="00A97CDE">
      <w:proofErr w:type="gramStart"/>
      <w:r>
        <w:t xml:space="preserve">There were three notable variations to this translation process that required </w:t>
      </w:r>
      <w:r w:rsidR="00FA0803">
        <w:t>three</w:t>
      </w:r>
      <w:r>
        <w:t xml:space="preserve"> complex rules to be implemented.</w:t>
      </w:r>
      <w:proofErr w:type="gramEnd"/>
      <w:r>
        <w:t xml:space="preserve"> The first is that for year tagging, which in addition to before and after guards, will only tag a year if it is in a certain range (between 1649 and 2000), which would be unwieldy to express in a regular expression.</w:t>
      </w:r>
    </w:p>
    <w:p w:rsidR="0073586C" w:rsidRDefault="0073586C" w:rsidP="00A97CDE">
      <w:r>
        <w:t>A second case for a complex rule is when tagging “the past”, where guards are required on the lack of presence of a timex starting in the same index. As mentioned above, the string representation of an internal format sentence does not capture this feature, so a complex rule must be written to work around it.</w:t>
      </w:r>
    </w:p>
    <w:p w:rsidR="0073586C" w:rsidRDefault="0073586C" w:rsidP="00A97CDE">
      <w:r>
        <w:t xml:space="preserve">The final case is a special case for post-processing of the annotated expressions. It will merge adjacent timexes under certain circumstances, </w:t>
      </w:r>
      <w:r w:rsidR="00FA0803">
        <w:t>and</w:t>
      </w:r>
      <w:r>
        <w:t xml:space="preserve"> removes </w:t>
      </w:r>
      <w:r w:rsidR="00FA0803">
        <w:t>over-tagged</w:t>
      </w:r>
      <w:r>
        <w:t xml:space="preserve"> embedded timexes (a timex </w:t>
      </w:r>
      <w:r w:rsidR="00FA0803">
        <w:t>that</w:t>
      </w:r>
      <w:r>
        <w:t xml:space="preserve"> is completely subsumed by another one).</w:t>
      </w:r>
    </w:p>
    <w:p w:rsidR="000E2441" w:rsidRPr="00A97CDE" w:rsidRDefault="000E2441" w:rsidP="00A97CDE">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B1472A">
        <w:t>5</w:t>
      </w:r>
      <w:r>
        <w:fldChar w:fldCharType="end"/>
      </w:r>
      <w:r>
        <w:t>.</w:t>
      </w:r>
    </w:p>
    <w:p w:rsidR="0065512A" w:rsidRDefault="00072F9B" w:rsidP="00873E62">
      <w:pPr>
        <w:pStyle w:val="Heading2"/>
      </w:pPr>
      <w:bookmarkStart w:id="78" w:name="_Ref270083084"/>
      <w:bookmarkStart w:id="79" w:name="_Toc270614688"/>
      <w:r>
        <w:lastRenderedPageBreak/>
        <w:t>Normalisation By Rule</w:t>
      </w:r>
      <w:bookmarkEnd w:id="78"/>
      <w:bookmarkEnd w:id="79"/>
    </w:p>
    <w:p w:rsidR="003D7405" w:rsidRDefault="00FA0803" w:rsidP="003D7405">
      <w:r>
        <w:t xml:space="preserve">The normalisation rule engine has much in common with the recognition rule engine, a relationship captured by the </w:t>
      </w:r>
      <w:proofErr w:type="spellStart"/>
      <w:r w:rsidRPr="003D7405">
        <w:rPr>
          <w:rStyle w:val="Code"/>
        </w:rPr>
        <w:t>ternip.rule_engine.rule_engine</w:t>
      </w:r>
      <w:proofErr w:type="spellEnd"/>
      <w:r>
        <w:t xml:space="preserve"> superclass, which both </w:t>
      </w:r>
      <w:proofErr w:type="spellStart"/>
      <w:r w:rsidRPr="003D7405">
        <w:rPr>
          <w:rStyle w:val="Code"/>
        </w:rPr>
        <w:t>ternip.rule_engine.normalisation_rule_engine</w:t>
      </w:r>
      <w:proofErr w:type="spellEnd"/>
      <w:r>
        <w:t xml:space="preserve"> and </w:t>
      </w:r>
      <w:proofErr w:type="spellStart"/>
      <w:r w:rsidRPr="003D7405">
        <w:rPr>
          <w:rStyle w:val="Code"/>
        </w:rPr>
        <w:t>ternip.rule_engine.recognition_rule_engine</w:t>
      </w:r>
      <w:proofErr w:type="spellEnd"/>
      <w:r>
        <w:t xml:space="preserve"> subclass. </w:t>
      </w:r>
      <w:r w:rsidR="003D7405">
        <w:t>However, in order to satisfy the requirement of separation of recognition and normalisation, the rule engines are distinct components, only sharing some code where required (for example, rule loading).</w:t>
      </w:r>
    </w:p>
    <w:p w:rsidR="00B35807" w:rsidRDefault="00B35807" w:rsidP="003D7405">
      <w:r>
        <w:t>The format of rules on disk is similar to in recognition rules, and is discussed further below. Similarly, preconditions on ordering and guards, and rule blocks behave as with recognition rules.</w:t>
      </w:r>
      <w:r w:rsidR="00116544">
        <w:t xml:space="preserve"> To provide a consistent interface for writing rules, the internal format is transformed into a string representation for regular expressions in the same way, but this can be overridden to a simpler if convenient.</w:t>
      </w:r>
      <w:r w:rsidR="00123BB1">
        <w:t xml:space="preserve"> Similarly, marking up number sequences (but only if the default representation for the internal format is used) and changing the case-sensitivity of regular expressions behaves identically to in recognition rules.</w:t>
      </w:r>
    </w:p>
    <w:p w:rsidR="00123BB1" w:rsidRDefault="00123BB1" w:rsidP="003D7405">
      <w:r>
        <w:t xml:space="preserve">How execution of the normalisation rule engine precedes differs from recognition rule engine. Rules are executed on </w:t>
      </w:r>
      <w:proofErr w:type="gramStart"/>
      <w:r>
        <w:t>a per</w:t>
      </w:r>
      <w:proofErr w:type="gramEnd"/>
      <w:r>
        <w:t xml:space="preserve"> timex, rather than per sentence, level, however execution does proceed one sentence at a time (although not necessarily in the order timexes appear in the sentence).</w:t>
      </w:r>
      <w:r w:rsidR="00F93E6E">
        <w:t xml:space="preserve"> As execution proceeds, rules can also change the current “context” of the document – a base date/time </w:t>
      </w:r>
      <w:r w:rsidR="00A01B9C">
        <w:t>that</w:t>
      </w:r>
      <w:r w:rsidR="00F93E6E">
        <w:t xml:space="preserve"> rules can use to compute relative expressions. At the start of executi</w:t>
      </w:r>
      <w:r w:rsidR="00373B28">
        <w:t>on, the current context is set to</w:t>
      </w:r>
      <w:r w:rsidR="00F93E6E">
        <w:t xml:space="preserve"> creation time of the document, which is passed in along with the document to the normaliser.</w:t>
      </w:r>
      <w:r w:rsidR="00FB61A1">
        <w:t xml:space="preserve"> This creation time does not have to be a complete date-time string, although many rules rely on at the date being specified to at le</w:t>
      </w:r>
      <w:r w:rsidR="000B577E">
        <w:t>ast day granularity to operate correctly</w:t>
      </w:r>
      <w:r w:rsidR="00FB61A1">
        <w:t>.</w:t>
      </w:r>
    </w:p>
    <w:p w:rsidR="00ED596F" w:rsidRDefault="00ED596F" w:rsidP="003D7405">
      <w:r>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 are passed, which the rule uses to check its preconditions.</w:t>
      </w:r>
    </w:p>
    <w:p w:rsidR="00ED596F" w:rsidRDefault="00506547" w:rsidP="003D7405">
      <w:proofErr w:type="gramStart"/>
      <w:r>
        <w:t>As with recognition rules,</w:t>
      </w:r>
      <w:r w:rsidR="00ED596F">
        <w:t xml:space="preserve"> guards at a sentence-level, before the extent</w:t>
      </w:r>
      <w:r>
        <w:t>,</w:t>
      </w:r>
      <w:r w:rsidR="00ED596F">
        <w:t xml:space="preserve"> and </w:t>
      </w:r>
      <w:r>
        <w:t>after the extent can be set to restrict successful execution of the rule.</w:t>
      </w:r>
      <w:proofErr w:type="gramEnd"/>
      <w:r>
        <w:t xml:space="preserve"> An additional guard against the timex extent can also be set. This is required as in recognition rules, the ‘Match’ field matches against the entire extent of the expression, however in normalisation rules, the ‘Match’ field can match a subset of the expression, so an additional guard against the entire expression is required.</w:t>
      </w:r>
    </w:p>
    <w:p w:rsidR="00FB03E9" w:rsidRDefault="00FB03E9" w:rsidP="003D7405">
      <w:r>
        <w:lastRenderedPageBreak/>
        <w:t xml:space="preserve">In addition to these regular expression guards, a pre-condition for the timex type also exists </w:t>
      </w:r>
    </w:p>
    <w:p w:rsidR="002A2E82" w:rsidRDefault="002A2E82" w:rsidP="003D7405">
      <w:r>
        <w:t xml:space="preserve">Another difference between normalisation and recognition rules is the role of the ‘Match’ field. In recognition rules, this is used to determine the extent of the timex to </w:t>
      </w:r>
      <w:r w:rsidR="00D40FA0">
        <w:t>tag;</w:t>
      </w:r>
      <w:r>
        <w:t xml:space="preserve"> </w:t>
      </w:r>
      <w:r w:rsidR="00D40FA0">
        <w:t>however,</w:t>
      </w:r>
      <w:r>
        <w:t xml:space="preserve"> in </w:t>
      </w:r>
      <w:r w:rsidR="00D40FA0">
        <w:t>normalisation rules</w:t>
      </w:r>
      <w:r>
        <w:t xml:space="preserve"> the match groups defined in the regular expression are available to </w:t>
      </w:r>
      <w:r w:rsidR="00D40FA0">
        <w:t>expressions that</w:t>
      </w:r>
      <w:r>
        <w:t xml:space="preserve"> set the values of the timex attributes.</w:t>
      </w:r>
    </w:p>
    <w:p w:rsidR="002A2E82" w:rsidRDefault="002A2E82" w:rsidP="003D7405">
      <w:r>
        <w:t>As mentioned above, an alternate representation of the internal form can be used against which regular expressions can match.</w:t>
      </w:r>
      <w:r w:rsidR="00584C39">
        <w:t xml:space="preserve"> This alternate representation </w:t>
      </w:r>
      <w:r w:rsidR="0013250D">
        <w:t>does not contain part-of-speech information, but this is not necessarily considered by all rules so the optional omission is acceptable. In this format, tokens are simply joined by an optional delimiter</w:t>
      </w:r>
      <w:r w:rsidR="002154F5">
        <w:t xml:space="preserve">. </w:t>
      </w:r>
      <w:r w:rsidR="002154F5">
        <w:fldChar w:fldCharType="begin"/>
      </w:r>
      <w:r w:rsidR="002154F5">
        <w:instrText xml:space="preserve"> REF _Ref270249362 \h </w:instrText>
      </w:r>
      <w:r w:rsidR="002154F5">
        <w:fldChar w:fldCharType="separate"/>
      </w:r>
      <w:r w:rsidR="00B1472A">
        <w:t xml:space="preserve">Sample </w:t>
      </w:r>
      <w:r w:rsidR="00B1472A">
        <w:rPr>
          <w:noProof/>
        </w:rPr>
        <w:t>6</w:t>
      </w:r>
      <w:r w:rsidR="002154F5">
        <w:fldChar w:fldCharType="end"/>
      </w:r>
      <w:r w:rsidR="002154F5">
        <w:t xml:space="preserve"> shows an example of such a representation</w:t>
      </w:r>
      <w:r w:rsidR="00291AC2">
        <w:t>, showing the simplicity</w:t>
      </w:r>
      <w:r w:rsidR="002154F5">
        <w:t xml:space="preserve"> of the detokenisation process</w:t>
      </w:r>
      <w:r w:rsidR="00291AC2">
        <w:t>, i.e., the space between the token “1979” and the full stop.</w:t>
      </w:r>
    </w:p>
    <w:p w:rsidR="0013250D" w:rsidRDefault="0013250D" w:rsidP="0013250D">
      <w:pPr>
        <w:pBdr>
          <w:top w:val="single" w:sz="4" w:space="1" w:color="auto"/>
          <w:left w:val="single" w:sz="4" w:space="4" w:color="auto"/>
          <w:bottom w:val="single" w:sz="4" w:space="1" w:color="auto"/>
          <w:right w:val="single" w:sz="4" w:space="4" w:color="auto"/>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2154F5" w:rsidRDefault="002154F5" w:rsidP="002154F5">
      <w:pPr>
        <w:pStyle w:val="Caption"/>
      </w:pPr>
      <w:bookmarkStart w:id="80" w:name="_Ref270249362"/>
      <w:r>
        <w:t xml:space="preserve">Sample </w:t>
      </w:r>
      <w:r>
        <w:fldChar w:fldCharType="begin"/>
      </w:r>
      <w:r>
        <w:instrText xml:space="preserve"> SEQ Sample \* ARABIC </w:instrText>
      </w:r>
      <w:r>
        <w:fldChar w:fldCharType="separate"/>
      </w:r>
      <w:r w:rsidR="00B1472A">
        <w:rPr>
          <w:noProof/>
        </w:rPr>
        <w:t>6</w:t>
      </w:r>
      <w:r>
        <w:fldChar w:fldCharType="end"/>
      </w:r>
      <w:bookmarkEnd w:id="80"/>
      <w:r>
        <w:t xml:space="preserve"> - a single sentence using a simple string representation and a space separator</w:t>
      </w:r>
    </w:p>
    <w:p w:rsidR="00FB03E9" w:rsidRPr="00FB03E9" w:rsidRDefault="00FB03E9" w:rsidP="00FB03E9">
      <w:r>
        <w:t>An additional restriction with the simpler string representation is that number sequence</w:t>
      </w:r>
      <w:r w:rsidR="00076193">
        <w:t xml:space="preserve">s cannot be annotated, as this process requires token delimiters </w:t>
      </w:r>
      <w:r w:rsidR="000E759F">
        <w:t>to</w:t>
      </w:r>
      <w:r w:rsidR="00076193">
        <w:t xml:space="preserve"> be present.</w:t>
      </w:r>
    </w:p>
    <w:p w:rsidR="00FB03E9" w:rsidRDefault="00FB03E9" w:rsidP="009E524D">
      <w:r>
        <w:t xml:space="preserve">If the ordering pre-conditions </w:t>
      </w:r>
      <w:r w:rsidR="003A5F2B">
        <w:t xml:space="preserve">pass and the rule </w:t>
      </w:r>
      <w:r>
        <w:t xml:space="preserve">executed, then the guards are first checked, and then the ‘Match’ regular expression. If a match is found, then then Python expressions are executed (if the rule has one) and their values assigned to the appropriate </w:t>
      </w:r>
      <w:r w:rsidR="00877F74">
        <w:t>attribute on the object.</w:t>
      </w:r>
    </w:p>
    <w:p w:rsidR="002722ED" w:rsidRDefault="002722ED" w:rsidP="009E524D">
      <w:r>
        <w:t xml:space="preserve">These expressions are unrestricted in what they can </w:t>
      </w:r>
      <w:r w:rsidR="00B901D9">
        <w:t>execute;</w:t>
      </w:r>
      <w:r>
        <w:t xml:space="preserve"> however</w:t>
      </w:r>
      <w:r w:rsidR="00B901D9">
        <w:t>,</w:t>
      </w:r>
      <w:r>
        <w:t xml:space="preserve"> care needs to be taken to ensure they do not interfere with the execution of the rule engine, which would result in undesirable results.</w:t>
      </w:r>
      <w:r w:rsidR="00B901D9">
        <w:t xml:space="preserve"> In order to help the normalisation process, a series of helper functions have been defined. These are discussed further in section </w:t>
      </w:r>
      <w:r w:rsidR="00B901D9">
        <w:fldChar w:fldCharType="begin"/>
      </w:r>
      <w:r w:rsidR="00B901D9">
        <w:instrText xml:space="preserve"> REF _Ref270250370 \r \h </w:instrText>
      </w:r>
      <w:r w:rsidR="00B901D9">
        <w:fldChar w:fldCharType="separate"/>
      </w:r>
      <w:r w:rsidR="00B1472A">
        <w:t>4.3.3</w:t>
      </w:r>
      <w:r w:rsidR="00B901D9">
        <w:fldChar w:fldCharType="end"/>
      </w:r>
      <w:r w:rsidR="00B901D9">
        <w:t>.</w:t>
      </w:r>
    </w:p>
    <w:p w:rsidR="00EE585A" w:rsidRDefault="00B901D9" w:rsidP="009E524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r w:rsidR="00297D16">
        <w:t>)</w:t>
      </w:r>
      <w:r>
        <w:t>.</w:t>
      </w:r>
    </w:p>
    <w:p w:rsidR="00B901D9" w:rsidRPr="00B901D9" w:rsidRDefault="00B901D9" w:rsidP="009E524D">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w:t>
      </w:r>
      <w:r w:rsidR="00F653D9">
        <w:t>determining</w:t>
      </w:r>
      <w:r>
        <w:t xml:space="preserve"> which match group to use</w:t>
      </w:r>
      <w:r w:rsidR="00F653D9">
        <w:t xml:space="preserve"> in expression</w:t>
      </w:r>
      <w:r>
        <w:t xml:space="preserve">, </w:t>
      </w:r>
      <w:r w:rsidR="004A6077">
        <w:t>these must be taken in to account.</w:t>
      </w:r>
    </w:p>
    <w:p w:rsidR="00A538CE" w:rsidRDefault="00A538CE" w:rsidP="00A538CE">
      <w:pPr>
        <w:pStyle w:val="Heading3"/>
      </w:pPr>
      <w:r>
        <w:lastRenderedPageBreak/>
        <w:t>Simple Rule Files</w:t>
      </w:r>
    </w:p>
    <w:p w:rsidR="00A538CE" w:rsidRPr="00A538CE" w:rsidRDefault="00664E0B" w:rsidP="00A538CE">
      <w:r>
        <w:t>As with recognition rules, the easiest way to load normalisation rules into the rule engine is via files on disk.</w:t>
      </w:r>
      <w:r w:rsidR="0013651A">
        <w:t xml:space="preserve"> These files follow the same format as the recognition rules, but with differing allowed fields and </w:t>
      </w:r>
      <w:r w:rsidR="00553108">
        <w:t xml:space="preserve">their meanings, corresponding to the description of normalisation rules given above. </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rule identifier: an optional string that can be defined no more than once, which can be referred to by other rules to express an ordering</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identifier of a rule whose execution must have preceded the execution of this rule: an optional string, that can be defined multiple times to define multiple dependencies</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E11724" w:rsidP="00553108">
            <w:r>
              <w:t>A guard against the type of timex which this rule will normalise</w:t>
            </w:r>
            <w:r w:rsidR="00680C35">
              <w:t xml:space="preserve"> that is matched as a string case-insensitively</w:t>
            </w:r>
            <w:r>
              <w:t>: this is an optional string which can exist only once</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80C35">
            <w:r>
              <w:t xml:space="preserve">The regular expression </w:t>
            </w:r>
            <w:r w:rsidR="00680C35">
              <w:t>that the extent of the timex must match for this rule to execute – the groups in this expression are exposed to the expressions below</w:t>
            </w:r>
            <w:r>
              <w:t>: this is a compulsory field that can exist only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proofErr w:type="gramStart"/>
            <w:r>
              <w:t>A guard</w:t>
            </w:r>
            <w:r w:rsidR="005A2794">
              <w:t xml:space="preserve"> against the timex extent</w:t>
            </w:r>
            <w:r>
              <w:t xml:space="preserve">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after-</w:t>
            </w:r>
            <w:r w:rsidR="005A2794">
              <w:t>extent</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before-</w:t>
            </w:r>
            <w:r w:rsidR="005A2794">
              <w:t>extent</w:t>
            </w:r>
            <w:r>
              <w:t xml:space="preserve"> guard for this rule: this follows the same format as the ‘Guard’ key</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 xml:space="preserve">The </w:t>
            </w:r>
            <w:r w:rsidR="005A2794">
              <w:t>sentence-level</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697C68">
            <w:pPr>
              <w:keepNext/>
            </w:pPr>
            <w:r>
              <w:t>A Python expression</w:t>
            </w:r>
            <w:r w:rsidR="00764CE3">
              <w:t xml:space="preserve"> (pre-processed as explained above)</w:t>
            </w:r>
            <w:r>
              <w:t xml:space="preserve"> which is evaluated to set </w:t>
            </w:r>
            <w:r w:rsidR="00A41A94">
              <w:t>the ‘value’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‘type’ attribute on the timex: an optional value which can exist no more 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Freq</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‘freq’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lastRenderedPageBreak/>
              <w:t>Quant</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‘quant’ attribute on the timex: an optional value which can exist no more 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Mod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‘mod’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C369B4">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5A2794"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A2794" w:rsidRDefault="005A2794"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5A2794" w:rsidRDefault="005A2794" w:rsidP="00697C68">
            <w:pPr>
              <w:keepNext/>
            </w:pPr>
            <w:r>
              <w:t>Whether number sequences should be marked up in the text before being presented to a regular expression: an optional Boolean (the strings ‘true’ or ‘false’), that can exist no more than once, and if omitted, defaults to false</w:t>
            </w:r>
          </w:p>
        </w:tc>
      </w:tr>
    </w:tbl>
    <w:p w:rsidR="00873E62" w:rsidRDefault="00873E62" w:rsidP="00873E62">
      <w:pPr>
        <w:pStyle w:val="Caption"/>
      </w:pPr>
      <w:r>
        <w:t xml:space="preserve">Table </w:t>
      </w:r>
      <w:r w:rsidR="005175C7">
        <w:fldChar w:fldCharType="begin"/>
      </w:r>
      <w:r w:rsidR="005175C7">
        <w:instrText xml:space="preserve"> SEQ Table \* ARABIC </w:instrText>
      </w:r>
      <w:r w:rsidR="005175C7">
        <w:fldChar w:fldCharType="separate"/>
      </w:r>
      <w:r w:rsidR="00B1472A">
        <w:rPr>
          <w:noProof/>
        </w:rPr>
        <w:t>4</w:t>
      </w:r>
      <w:r w:rsidR="005175C7">
        <w:fldChar w:fldCharType="end"/>
      </w:r>
      <w:r>
        <w:t xml:space="preserve"> -</w:t>
      </w:r>
      <w:r w:rsidRPr="00CB366F">
        <w:t xml:space="preserve"> Accepted fields in </w:t>
      </w:r>
      <w:r>
        <w:t>normalisation</w:t>
      </w:r>
      <w:r w:rsidRPr="00CB366F">
        <w:t xml:space="preserve"> rule definitions</w:t>
      </w:r>
    </w:p>
    <w:p w:rsidR="00664E0B" w:rsidRDefault="00664E0B" w:rsidP="003663C5">
      <w:pPr>
        <w:pBdr>
          <w:top w:val="single" w:sz="4" w:space="1" w:color="auto"/>
          <w:left w:val="single" w:sz="4" w:space="4" w:color="auto"/>
          <w:bottom w:val="single" w:sz="4" w:space="1" w:color="auto"/>
          <w:right w:val="single" w:sz="4" w:space="4" w:color="auto"/>
        </w:pBdr>
        <w:jc w:val="left"/>
        <w:rPr>
          <w:rStyle w:val="Code"/>
        </w:rPr>
      </w:pPr>
      <w:r w:rsidRPr="00664E0B">
        <w:rPr>
          <w:rStyle w:val="Code"/>
        </w:rPr>
        <w:t>Type: date</w:t>
      </w:r>
      <w:r w:rsidR="003663C5">
        <w:rPr>
          <w:rStyle w:val="Code"/>
        </w:rPr>
        <w:br/>
      </w:r>
      <w:r w:rsidRPr="00664E0B">
        <w:rPr>
          <w:rStyle w:val="Code"/>
        </w:rPr>
        <w:t>Guard: (</w:t>
      </w:r>
      <w:proofErr w:type="spellStart"/>
      <w:r w:rsidRPr="00664E0B">
        <w:rPr>
          <w:rStyle w:val="Code"/>
        </w:rPr>
        <w:t>last|past</w:t>
      </w:r>
      <w:proofErr w:type="spellEnd"/>
      <w:r w:rsidRPr="00664E0B">
        <w:rPr>
          <w:rStyle w:val="Code"/>
        </w:rPr>
        <w:t>)</w:t>
      </w:r>
      <w:r w:rsidR="003663C5">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sidR="003663C5">
        <w:rPr>
          <w:rStyle w:val="Code"/>
        </w:rPr>
        <w:br/>
      </w:r>
      <w:r w:rsidRPr="00664E0B">
        <w:rPr>
          <w:rStyle w:val="Code"/>
        </w:rPr>
        <w:t>Before-Guard: !&lt;(</w:t>
      </w:r>
      <w:proofErr w:type="spellStart"/>
      <w:r w:rsidRPr="00664E0B">
        <w:rPr>
          <w:rStyle w:val="Code"/>
        </w:rPr>
        <w:t>the|a</w:t>
      </w:r>
      <w:proofErr w:type="spellEnd"/>
      <w:r w:rsidRPr="00664E0B">
        <w:rPr>
          <w:rStyle w:val="Code"/>
        </w:rPr>
        <w:t>)~.+&gt;$</w:t>
      </w:r>
      <w:r w:rsidR="003663C5">
        <w:rPr>
          <w:rStyle w:val="Code"/>
        </w:rPr>
        <w:br/>
        <w:t>Match: &lt;($DAYS)~.+&gt;</w:t>
      </w:r>
      <w:r w:rsidR="003663C5">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3663C5" w:rsidRPr="00664E0B" w:rsidRDefault="003663C5" w:rsidP="003663C5">
      <w:pPr>
        <w:pStyle w:val="Caption"/>
        <w:rPr>
          <w:rStyle w:val="Code"/>
        </w:rPr>
      </w:pPr>
      <w:r>
        <w:t xml:space="preserve">Sample </w:t>
      </w:r>
      <w:r>
        <w:fldChar w:fldCharType="begin"/>
      </w:r>
      <w:r>
        <w:instrText xml:space="preserve"> SEQ Sample \* ARABIC </w:instrText>
      </w:r>
      <w:r>
        <w:fldChar w:fldCharType="separate"/>
      </w:r>
      <w:r w:rsidR="00B1472A">
        <w:rPr>
          <w:noProof/>
        </w:rPr>
        <w:t>7</w:t>
      </w:r>
      <w:r>
        <w:fldChar w:fldCharType="end"/>
      </w:r>
      <w:r>
        <w:t xml:space="preserve"> - a more complex normalisation rule for normalising expressions like “Last Tuesday”</w:t>
      </w:r>
    </w:p>
    <w:p w:rsidR="00A538CE" w:rsidRDefault="00664E0B" w:rsidP="00A538CE">
      <w:r>
        <w:t>T</w:t>
      </w:r>
      <w:r w:rsidR="0037752A">
        <w:t xml:space="preserve">hese rules can also be structured into blocks of rules, as described in section </w:t>
      </w:r>
      <w:r w:rsidR="0037752A">
        <w:fldChar w:fldCharType="begin"/>
      </w:r>
      <w:r w:rsidR="0037752A">
        <w:instrText xml:space="preserve"> REF _Ref270082191 \r \h </w:instrText>
      </w:r>
      <w:r w:rsidR="0037752A">
        <w:fldChar w:fldCharType="separate"/>
      </w:r>
      <w:r w:rsidR="00B1472A">
        <w:t>4.2.1</w:t>
      </w:r>
      <w:r w:rsidR="0037752A">
        <w:fldChar w:fldCharType="end"/>
      </w:r>
      <w:r w:rsidR="0037752A">
        <w:t xml:space="preserve">, except where the allowed keys and values follow the format for normalisation rules described above. As with recognition rules, normalisation rules in a rule block differ from single ones in ordering conditions – </w:t>
      </w:r>
      <w:r w:rsidR="00C75CF2">
        <w:t>‘</w:t>
      </w:r>
      <w:r w:rsidR="0037752A">
        <w:t>ID</w:t>
      </w:r>
      <w:r w:rsidR="00C75CF2">
        <w:t>’</w:t>
      </w:r>
      <w:r w:rsidR="0037752A">
        <w:t xml:space="preserve"> and </w:t>
      </w:r>
      <w:r w:rsidR="00C75CF2">
        <w:t>‘</w:t>
      </w:r>
      <w:r w:rsidR="0037752A">
        <w:t>After</w:t>
      </w:r>
      <w:r w:rsidR="00C75CF2">
        <w:t>’</w:t>
      </w:r>
      <w:r w:rsidR="0037752A">
        <w:t xml:space="preserve"> are invalid in a rule block.</w:t>
      </w:r>
    </w:p>
    <w:p w:rsidR="0021424D" w:rsidRDefault="0021424D" w:rsidP="0021424D">
      <w:pPr>
        <w:pStyle w:val="Heading3"/>
      </w:pPr>
      <w:r>
        <w:t>Complex Rule Files</w:t>
      </w:r>
    </w:p>
    <w:p w:rsidR="0021424D" w:rsidRDefault="00697C68" w:rsidP="0021424D">
      <w:r>
        <w:t xml:space="preserve">Complex rule files are also supported by the normalisation engine. These are files containing a Python class called ‘rule’ </w:t>
      </w:r>
      <w:r w:rsidR="009C33FD">
        <w:t>that are loaded by the rule engine, and the class instantiated and added to the list of rules in the rule engine.</w:t>
      </w:r>
    </w:p>
    <w:p w:rsidR="00393381" w:rsidRDefault="009C33FD" w:rsidP="009C33FD">
      <w:r>
        <w:t xml:space="preserve">These rules use the same attributes as for recognition rules to define the ordering pre-conditions: </w:t>
      </w:r>
      <w:r w:rsidRPr="009C33FD">
        <w:rPr>
          <w:rStyle w:val="Code"/>
        </w:rPr>
        <w:t>id</w:t>
      </w:r>
      <w:r>
        <w:t xml:space="preserve"> and </w:t>
      </w:r>
      <w:r w:rsidRPr="009C33FD">
        <w:rPr>
          <w:rStyle w:val="Code"/>
        </w:rPr>
        <w:t>after</w:t>
      </w:r>
      <w:r>
        <w:t xml:space="preserve">. However, the function that is called when this rule is to be executed differs from recognition rules: </w:t>
      </w:r>
      <w:proofErr w:type="gramStart"/>
      <w:r w:rsidR="00393381">
        <w:rPr>
          <w:rStyle w:val="Code"/>
        </w:rPr>
        <w:t>apply(</w:t>
      </w:r>
      <w:proofErr w:type="gramEnd"/>
      <w:r w:rsidRPr="009C33FD">
        <w:rPr>
          <w:rStyle w:val="Code"/>
        </w:rPr>
        <w:t xml:space="preserve">timex, </w:t>
      </w:r>
      <w:proofErr w:type="spellStart"/>
      <w:r w:rsidRPr="009C33FD">
        <w:rPr>
          <w:rStyle w:val="Code"/>
        </w:rPr>
        <w:t>cur</w:t>
      </w:r>
      <w:r>
        <w:rPr>
          <w:rStyle w:val="Code"/>
        </w:rPr>
        <w:t>rent</w:t>
      </w:r>
      <w:r w:rsidRPr="009C33FD">
        <w:rPr>
          <w:rStyle w:val="Code"/>
        </w:rPr>
        <w:t>_context</w:t>
      </w:r>
      <w:proofErr w:type="spellEnd"/>
      <w:r w:rsidRPr="009C33FD">
        <w:rPr>
          <w:rStyle w:val="Code"/>
        </w:rPr>
        <w:t xml:space="preserve">, </w:t>
      </w:r>
      <w:proofErr w:type="spellStart"/>
      <w:r w:rsidRPr="009C33FD">
        <w:rPr>
          <w:rStyle w:val="Code"/>
        </w:rPr>
        <w:t>d</w:t>
      </w:r>
      <w:r>
        <w:rPr>
          <w:rStyle w:val="Code"/>
        </w:rPr>
        <w:t>ocument_</w:t>
      </w:r>
      <w:r w:rsidRPr="009C33FD">
        <w:rPr>
          <w:rStyle w:val="Code"/>
        </w:rPr>
        <w:t>c</w:t>
      </w:r>
      <w:r>
        <w:rPr>
          <w:rStyle w:val="Code"/>
        </w:rPr>
        <w:t>reation_</w:t>
      </w:r>
      <w:r w:rsidRPr="009C33FD">
        <w:rPr>
          <w:rStyle w:val="Code"/>
        </w:rPr>
        <w:t>t</w:t>
      </w:r>
      <w:r>
        <w:rPr>
          <w:rStyle w:val="Code"/>
        </w:rPr>
        <w:t>ime</w:t>
      </w:r>
      <w:proofErr w:type="spellEnd"/>
      <w:r w:rsidRPr="009C33FD">
        <w:rPr>
          <w:rStyle w:val="Code"/>
        </w:rPr>
        <w:t>, body, before, after)</w:t>
      </w:r>
      <w:r w:rsidRPr="009C33FD">
        <w:t>.</w:t>
      </w:r>
      <w:r w:rsidR="00393381">
        <w:t xml:space="preserve"> This rule is e</w:t>
      </w:r>
      <w:r w:rsidR="003E1130">
        <w:t>xpected to return a tuple consisting of a Boolean indicating whether it successfully executed and a date/time string containing the temporal context of this sentence (which this timex may have changed).</w:t>
      </w:r>
    </w:p>
    <w:p w:rsidR="0021424D" w:rsidRDefault="0021424D" w:rsidP="0021424D">
      <w:pPr>
        <w:pStyle w:val="Heading3"/>
      </w:pPr>
      <w:bookmarkStart w:id="81" w:name="_Ref270250370"/>
      <w:r>
        <w:lastRenderedPageBreak/>
        <w:t>Normalisation Support Functions</w:t>
      </w:r>
      <w:bookmarkEnd w:id="81"/>
    </w:p>
    <w:p w:rsidR="003E1130" w:rsidRDefault="003E1130" w:rsidP="003E1130">
      <w:r>
        <w:t xml:space="preserve">Many expressions contain patterns in the process they are converted </w:t>
      </w:r>
      <w:r w:rsidR="0073242C">
        <w:t xml:space="preserve">to an ISO 8601 representation. Normal software engineering practice would encourage abstraction of these patterns into functions that can be reused, however the simple rule format does not allow for definition of Python functions. To allow these abstractions to be developed and their benefits to be realised, TERNIP provides the sub-package </w:t>
      </w:r>
      <w:proofErr w:type="spellStart"/>
      <w:r w:rsidR="0073242C" w:rsidRPr="0073242C">
        <w:rPr>
          <w:rStyle w:val="Code"/>
        </w:rPr>
        <w:t>ternip.rule_engine.normalisation_functions</w:t>
      </w:r>
      <w:proofErr w:type="spellEnd"/>
      <w:r w:rsidR="0073242C">
        <w:t xml:space="preserve"> that contains</w:t>
      </w:r>
      <w:r w:rsidR="005951A8">
        <w:t xml:space="preserve"> generic functions that rules can use.</w:t>
      </w:r>
    </w:p>
    <w:p w:rsidR="00A51854" w:rsidRDefault="00A51854" w:rsidP="003E1130">
      <w:r>
        <w:t xml:space="preserve">Many of these functions were converted from GUTime </w:t>
      </w:r>
      <w:sdt>
        <w:sdtPr>
          <w:id w:val="49655601"/>
          <w:citation/>
        </w:sdtPr>
        <w:sdtContent>
          <w:r>
            <w:fldChar w:fldCharType="begin"/>
          </w:r>
          <w:r>
            <w:instrText xml:space="preserve"> CITATION Ver05 \l 2057 </w:instrText>
          </w:r>
          <w:r>
            <w:fldChar w:fldCharType="separate"/>
          </w:r>
          <w:r w:rsidR="00B1472A">
            <w:rPr>
              <w:noProof/>
            </w:rPr>
            <w:t>(Verhagen, et al., 2005)</w:t>
          </w:r>
          <w:r>
            <w:fldChar w:fldCharType="end"/>
          </w:r>
        </w:sdtContent>
      </w:sdt>
      <w:r>
        <w:t>, tweaked to work in a more Pythonic way, but others were considerably expanded from their GUTime functionality, and more newly created.</w:t>
      </w:r>
    </w:p>
    <w:p w:rsidR="00401F2F" w:rsidRDefault="00A51854" w:rsidP="003E1130">
      <w:r>
        <w:t>These functions are classified into one of three classes: string conversions, date calculations, and relative date manipulations.</w:t>
      </w:r>
      <w:r w:rsidR="00401F2F">
        <w:t xml:space="preserve"> An additional subclass of string conversion functions is also provided, which convert sequences of number-words (or ordinals) to their integer values. This follows the algorithm implemented in GUTime </w:t>
      </w:r>
      <w:sdt>
        <w:sdtPr>
          <w:id w:val="-1790887936"/>
          <w:citation/>
        </w:sdtPr>
        <w:sdtContent>
          <w:r w:rsidR="00401F2F">
            <w:fldChar w:fldCharType="begin"/>
          </w:r>
          <w:r w:rsidR="00401F2F">
            <w:instrText xml:space="preserve"> CITATION Ver05 \l 2057 </w:instrText>
          </w:r>
          <w:r w:rsidR="00401F2F">
            <w:fldChar w:fldCharType="separate"/>
          </w:r>
          <w:r w:rsidR="00B1472A">
            <w:rPr>
              <w:noProof/>
            </w:rPr>
            <w:t>(Verhagen, et al., 2005)</w:t>
          </w:r>
          <w:r w:rsidR="00401F2F">
            <w:fldChar w:fldCharType="end"/>
          </w:r>
        </w:sdtContent>
      </w:sdt>
      <w:r w:rsidR="00401F2F">
        <w:t>, with an extension to support mixed integer and word sequences (e.g., “6 thousand”).</w:t>
      </w:r>
    </w:p>
    <w:p w:rsidR="00A51854" w:rsidRDefault="004A7B8E" w:rsidP="003E1130">
      <w:r>
        <w:t>Other s</w:t>
      </w:r>
      <w:r w:rsidR="00396E1A">
        <w:t>tring conversion functions include ones that take a season name (e.g., ‘spring’) and return the corresponding identifier for use in a value field (i.e., ‘SP’</w:t>
      </w:r>
      <w:r w:rsidR="00401F2F">
        <w:t xml:space="preserve">), and date calculation functions include </w:t>
      </w:r>
      <w:proofErr w:type="spellStart"/>
      <w:r w:rsidR="00401F2F" w:rsidRPr="00401F2F">
        <w:rPr>
          <w:rStyle w:val="Code"/>
        </w:rPr>
        <w:t>date_to_week</w:t>
      </w:r>
      <w:proofErr w:type="spellEnd"/>
      <w:r w:rsidR="00401F2F">
        <w:t>, which converts a date to a week granularity string containing the week number (e.g., ‘2010W26’). These functions are documented using inline documentation.</w:t>
      </w:r>
    </w:p>
    <w:p w:rsidR="008D4CDA" w:rsidRDefault="00401F2F" w:rsidP="003E1130">
      <w:r>
        <w:t>The final set of functions relate to calculations of offsets from dates. Three functions are provided</w:t>
      </w:r>
      <w:r w:rsidR="007A0911">
        <w:t xml:space="preserve">: </w:t>
      </w:r>
      <w:proofErr w:type="spellStart"/>
      <w:r w:rsidR="007A0911" w:rsidRPr="007A0911">
        <w:rPr>
          <w:rStyle w:val="Code"/>
        </w:rPr>
        <w:t>offset_from_date</w:t>
      </w:r>
      <w:proofErr w:type="spellEnd"/>
      <w:r w:rsidR="007A0911">
        <w:t xml:space="preserve">, </w:t>
      </w:r>
      <w:proofErr w:type="spellStart"/>
      <w:r w:rsidR="00051191" w:rsidRPr="007A0911">
        <w:rPr>
          <w:rStyle w:val="Code"/>
        </w:rPr>
        <w:t>compute_offset_base</w:t>
      </w:r>
      <w:proofErr w:type="spellEnd"/>
      <w:r w:rsidR="00051191" w:rsidRPr="007A0911">
        <w:rPr>
          <w:rStyle w:val="Code"/>
        </w:rPr>
        <w:t>,</w:t>
      </w:r>
      <w:r w:rsidR="007A0911">
        <w:t xml:space="preserve"> and </w:t>
      </w:r>
      <w:proofErr w:type="spellStart"/>
      <w:r w:rsidR="007A0911" w:rsidRPr="007A0911">
        <w:rPr>
          <w:rStyle w:val="Code"/>
        </w:rPr>
        <w:t>relative_direction_heuristic</w:t>
      </w:r>
      <w:proofErr w:type="spellEnd"/>
      <w:r w:rsidR="007A0911">
        <w:t>.</w:t>
      </w:r>
    </w:p>
    <w:p w:rsidR="007A0911" w:rsidRDefault="007A0911" w:rsidP="003E1130">
      <w:r>
        <w:t xml:space="preserve">The first function takes a base date/time, the offset value, the unit of the offset (e.g., day, month, </w:t>
      </w:r>
      <w:r w:rsidR="00EC2779">
        <w:t>etc.),</w:t>
      </w:r>
      <w:r>
        <w:t xml:space="preserve"> and whether the resulting date/time should be of the original granularity, or the granularity of the offset made.</w:t>
      </w:r>
      <w:r w:rsidR="008D4CDA">
        <w:t xml:space="preserve"> </w:t>
      </w:r>
      <w:r>
        <w:t xml:space="preserve">Although this function was originally </w:t>
      </w:r>
      <w:r w:rsidR="008D4CDA">
        <w:t>included with</w:t>
      </w:r>
      <w:r>
        <w:t xml:space="preserve"> GUTime, it has been substantially rewritten to make it more resilient, and uses Python’s </w:t>
      </w:r>
      <w:proofErr w:type="spellStart"/>
      <w:r w:rsidRPr="008D4CDA">
        <w:rPr>
          <w:rStyle w:val="Code"/>
        </w:rPr>
        <w:t>datetime</w:t>
      </w:r>
      <w:proofErr w:type="spellEnd"/>
      <w:r>
        <w:t xml:space="preserve"> module to </w:t>
      </w:r>
      <w:r w:rsidR="00811407">
        <w:t>provide</w:t>
      </w:r>
      <w:r>
        <w:t xml:space="preserve"> much of the logic.</w:t>
      </w:r>
    </w:p>
    <w:p w:rsidR="008D4CDA" w:rsidRDefault="008D4CDA" w:rsidP="003E1130">
      <w:r>
        <w:t xml:space="preserve">The </w:t>
      </w:r>
      <w:proofErr w:type="spellStart"/>
      <w:r w:rsidRPr="008D4CDA">
        <w:rPr>
          <w:rStyle w:val="Code"/>
        </w:rPr>
        <w:t>compute_offset_base</w:t>
      </w:r>
      <w:proofErr w:type="spellEnd"/>
      <w:r>
        <w:t xml:space="preserve"> function will take simple relative expressions (such as ‘yesterday’, ‘Wednesday’ or ‘Easter’), a base date/time, and a direction hint to compute a new relative date. This can be used in non-trivial expressions such as “4 weeks from last Monday” to normalise the “Monday” phrase (with a negative direction hint) which can then be used as the base for an </w:t>
      </w:r>
      <w:proofErr w:type="spellStart"/>
      <w:r w:rsidRPr="008D4CDA">
        <w:rPr>
          <w:rStyle w:val="Code"/>
        </w:rPr>
        <w:t>offset_from_date</w:t>
      </w:r>
      <w:proofErr w:type="spellEnd"/>
      <w:r>
        <w:t xml:space="preserve"> call, but it can also be used to normalise the trivial expression “last Monday” when it stands on its own. </w:t>
      </w:r>
      <w:proofErr w:type="gramStart"/>
      <w:r>
        <w:t xml:space="preserve">Like </w:t>
      </w:r>
      <w:proofErr w:type="spellStart"/>
      <w:r w:rsidRPr="007A0911">
        <w:rPr>
          <w:rStyle w:val="Code"/>
        </w:rPr>
        <w:t>offset_from_date</w:t>
      </w:r>
      <w:proofErr w:type="spellEnd"/>
      <w:r w:rsidRPr="008D4CDA">
        <w:t>, this was</w:t>
      </w:r>
      <w:r>
        <w:t xml:space="preserve"> originally ported from GUTime, but has been extended </w:t>
      </w:r>
      <w:r w:rsidR="006D5772">
        <w:t xml:space="preserve">extensively </w:t>
      </w:r>
      <w:r w:rsidR="00631102">
        <w:t xml:space="preserve">in order </w:t>
      </w:r>
      <w:r>
        <w:t xml:space="preserve">to handle </w:t>
      </w:r>
      <w:r w:rsidR="00A71DA5">
        <w:t xml:space="preserve">more </w:t>
      </w:r>
      <w:r w:rsidR="00627209">
        <w:t>type</w:t>
      </w:r>
      <w:r w:rsidR="00A71DA5">
        <w:t>s</w:t>
      </w:r>
      <w:r w:rsidR="00631102" w:rsidRPr="00631102">
        <w:t xml:space="preserve"> </w:t>
      </w:r>
      <w:r w:rsidR="00631102">
        <w:t>of expression</w:t>
      </w:r>
      <w:r>
        <w:t>.</w:t>
      </w:r>
      <w:proofErr w:type="gramEnd"/>
      <w:r w:rsidR="00893A49">
        <w:t xml:space="preserve"> The direction hint is used to determine the behaviour of this function, except </w:t>
      </w:r>
      <w:r w:rsidR="00893A49">
        <w:lastRenderedPageBreak/>
        <w:t>where direction is implicit in the expression (i.e., ‘yesterday’ and ‘tomorrow’). When the direction hint is negative, it returns the date of first occurrence of expression before the reference date, even if the current date is an instance of that expression</w:t>
      </w:r>
      <w:r w:rsidR="00E855C9">
        <w:t xml:space="preserve">. </w:t>
      </w:r>
      <w:r w:rsidR="00893A49">
        <w:t>e.g., if a negative direction hint is used, the reference date is the 25</w:t>
      </w:r>
      <w:r w:rsidR="00893A49" w:rsidRPr="00893A49">
        <w:rPr>
          <w:vertAlign w:val="superscript"/>
        </w:rPr>
        <w:t>th</w:t>
      </w:r>
      <w:r w:rsidR="00893A49">
        <w:t xml:space="preserve"> </w:t>
      </w:r>
      <w:r w:rsidR="00E855C9">
        <w:t>December,</w:t>
      </w:r>
      <w:r w:rsidR="00893A49">
        <w:t xml:space="preserve"> and the expression is “Christmas day”, then the date returned will always be in the previous year.</w:t>
      </w:r>
      <w:r w:rsidR="00E855C9">
        <w:t xml:space="preserve"> When the direction hint is positive, the behaviour is similar, except the dates will be the proceeding instance of that expression. When no direction hint is given, the closest instance of that date (e.g., if the reference date is a “Wednesday”, the expression “Tuesday” would resolve to the past, whereas “Thursday” would resolve to the future), is returned</w:t>
      </w:r>
      <w:r w:rsidR="00076B91">
        <w:t>. Unlike</w:t>
      </w:r>
      <w:r w:rsidR="00E855C9">
        <w:t xml:space="preserve"> when direction hints are given</w:t>
      </w:r>
      <w:r w:rsidR="00584A94">
        <w:t>, it can return the same date as passed in, if that date is an instance of that expression.</w:t>
      </w:r>
    </w:p>
    <w:p w:rsidR="00776DB9" w:rsidRPr="003E1130" w:rsidRDefault="00776DB9" w:rsidP="003E1130">
      <w:r>
        <w:t xml:space="preserve">The final function, </w:t>
      </w:r>
      <w:proofErr w:type="spellStart"/>
      <w:r w:rsidRPr="007A0911">
        <w:rPr>
          <w:rStyle w:val="Code"/>
        </w:rPr>
        <w:t>relative_direction_heuristic</w:t>
      </w:r>
      <w:proofErr w:type="spellEnd"/>
      <w:r>
        <w:t xml:space="preserve">, is an implementation of GUTime’s direction heuristic that returns the direction </w:t>
      </w:r>
      <w:r w:rsidR="00076B91">
        <w:t xml:space="preserve">(if one can </w:t>
      </w:r>
      <w:r w:rsidR="00893A49">
        <w:t>determined)</w:t>
      </w:r>
      <w:r w:rsidR="00076B91">
        <w:t xml:space="preserve"> of the temporal expression. It first looks at the section of the sentence between any preceding timex and this timex to identify a key verb, and if none </w:t>
      </w:r>
      <w:r w:rsidR="004B14C2">
        <w:t>is</w:t>
      </w:r>
      <w:r w:rsidR="00076B91">
        <w:t xml:space="preserve"> found the proceeding section of the sentence and if this fails, the entirety of the sentence preceding this timex. If a verb is found, its tense is used to determine </w:t>
      </w:r>
      <w:r w:rsidR="0050663B">
        <w:t xml:space="preserve">the direction, otherwise if the word immediately preceding the timex is “since” or “until”, this is used as a linguistic cue. </w:t>
      </w:r>
    </w:p>
    <w:p w:rsidR="0021424D" w:rsidRDefault="0021424D" w:rsidP="0021424D">
      <w:pPr>
        <w:pStyle w:val="Heading3"/>
      </w:pPr>
      <w:r>
        <w:t>The GUTime Rule Set</w:t>
      </w:r>
    </w:p>
    <w:p w:rsidR="00234FAA" w:rsidRDefault="00234FAA" w:rsidP="0021424D">
      <w:r>
        <w:t xml:space="preserve">The normalisation rules implemented in TERNIP are all derived from GUTime </w:t>
      </w:r>
      <w:sdt>
        <w:sdtPr>
          <w:id w:val="166982189"/>
          <w:citation/>
        </w:sdtPr>
        <w:sdtContent>
          <w:r>
            <w:fldChar w:fldCharType="begin"/>
          </w:r>
          <w:r>
            <w:instrText xml:space="preserve"> CITATION Ver05 \l 2057 </w:instrText>
          </w:r>
          <w:r>
            <w:fldChar w:fldCharType="separate"/>
          </w:r>
          <w:r w:rsidR="00B1472A">
            <w:rPr>
              <w:noProof/>
            </w:rPr>
            <w:t>(Verhagen, et al., 2005)</w:t>
          </w:r>
          <w:r>
            <w:fldChar w:fldCharType="end"/>
          </w:r>
        </w:sdtContent>
      </w:sdt>
      <w:r>
        <w:t>, but small tweaks have been made to capture some generalities between rules the original Perl did not capture.</w:t>
      </w:r>
      <w:r w:rsidR="00B35E37">
        <w:t xml:space="preserve"> There are 260 normalisation rules.</w:t>
      </w:r>
      <w:r>
        <w:t xml:space="preserve"> 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B1472A">
        <w:t xml:space="preserve">Sample </w:t>
      </w:r>
      <w:r w:rsidR="00B1472A">
        <w:rPr>
          <w:noProof/>
        </w:rPr>
        <w:t>8</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C46885" w:rsidRDefault="00C46885" w:rsidP="00C46885">
      <w:pPr>
        <w:pBdr>
          <w:top w:val="single" w:sz="4" w:space="1" w:color="auto"/>
          <w:left w:val="single" w:sz="4" w:space="4" w:color="auto"/>
          <w:bottom w:val="single" w:sz="4" w:space="1" w:color="auto"/>
          <w:right w:val="single" w:sz="4" w:space="4" w:color="auto"/>
        </w:pBdr>
        <w:jc w:val="left"/>
        <w:rPr>
          <w:rStyle w:val="Code"/>
        </w:rPr>
      </w:pPr>
      <w:r w:rsidRPr="00C46885">
        <w:rPr>
          <w:rStyle w:val="Code"/>
        </w:rPr>
        <w:t>Match: &lt;night~</w:t>
      </w:r>
      <w:proofErr w:type="gramStart"/>
      <w:r w:rsidRPr="00C46885">
        <w:rPr>
          <w:rStyle w:val="Code"/>
        </w:rPr>
        <w:t>.+</w:t>
      </w:r>
      <w:proofErr w:type="gramEnd"/>
      <w:r w:rsidRPr="00C46885">
        <w:rPr>
          <w:rStyle w:val="Code"/>
        </w:rPr>
        <w:t>&gt;</w:t>
      </w:r>
      <w:r w:rsidRPr="00C46885">
        <w:rPr>
          <w:rStyle w:val="Code"/>
        </w:rPr>
        <w:br/>
        <w:t>Value: (</w:t>
      </w:r>
      <w:proofErr w:type="spellStart"/>
      <w:r w:rsidRPr="00C46885">
        <w:rPr>
          <w:rStyle w:val="Code"/>
        </w:rPr>
        <w:t>timex.value</w:t>
      </w:r>
      <w:proofErr w:type="spellEnd"/>
      <w:r w:rsidRPr="00C46885">
        <w:rPr>
          <w:rStyle w:val="Code"/>
        </w:rPr>
        <w:t xml:space="preserve"> + 'TNI') if (</w:t>
      </w:r>
      <w:proofErr w:type="spellStart"/>
      <w:r w:rsidRPr="00C46885">
        <w:rPr>
          <w:rStyle w:val="Code"/>
        </w:rPr>
        <w:t>re.match</w:t>
      </w:r>
      <w:proofErr w:type="spellEnd"/>
      <w:r w:rsidRPr="00C46885">
        <w:rPr>
          <w:rStyle w:val="Code"/>
        </w:rPr>
        <w:t xml:space="preserve">(r'^\d{8}$', </w:t>
      </w:r>
      <w:proofErr w:type="spellStart"/>
      <w:r w:rsidRPr="00C46885">
        <w:rPr>
          <w:rStyle w:val="Code"/>
        </w:rPr>
        <w:t>timex.value</w:t>
      </w:r>
      <w:proofErr w:type="spellEnd"/>
      <w:r w:rsidRPr="00C46885">
        <w:rPr>
          <w:rStyle w:val="Code"/>
        </w:rPr>
        <w:t xml:space="preserve"> if </w:t>
      </w:r>
      <w:proofErr w:type="spellStart"/>
      <w:r w:rsidRPr="00C46885">
        <w:rPr>
          <w:rStyle w:val="Code"/>
        </w:rPr>
        <w:t>timex.value</w:t>
      </w:r>
      <w:proofErr w:type="spellEnd"/>
      <w:r w:rsidRPr="00C46885">
        <w:rPr>
          <w:rStyle w:val="Code"/>
        </w:rPr>
        <w:t xml:space="preserve"> != None else '') != None) else </w:t>
      </w:r>
      <w:proofErr w:type="spellStart"/>
      <w:r w:rsidRPr="00C46885">
        <w:rPr>
          <w:rStyle w:val="Code"/>
        </w:rPr>
        <w:t>timex.value</w:t>
      </w:r>
      <w:proofErr w:type="spellEnd"/>
    </w:p>
    <w:p w:rsidR="00C46885" w:rsidRDefault="00C46885" w:rsidP="00C46885">
      <w:pPr>
        <w:pStyle w:val="Caption"/>
      </w:pPr>
      <w:bookmarkStart w:id="82" w:name="_Ref270352805"/>
      <w:r>
        <w:t xml:space="preserve">Sample </w:t>
      </w:r>
      <w:r>
        <w:fldChar w:fldCharType="begin"/>
      </w:r>
      <w:r>
        <w:instrText xml:space="preserve"> SEQ Sample \* ARABIC </w:instrText>
      </w:r>
      <w:r>
        <w:fldChar w:fldCharType="separate"/>
      </w:r>
      <w:r w:rsidR="00B1472A">
        <w:rPr>
          <w:noProof/>
        </w:rPr>
        <w:t>8</w:t>
      </w:r>
      <w:r>
        <w:fldChar w:fldCharType="end"/>
      </w:r>
      <w:bookmarkEnd w:id="82"/>
      <w:r>
        <w:t xml:space="preserve"> - adding approximate time-of-day expressions from gutime-timeofday.ruleblock</w:t>
      </w:r>
    </w:p>
    <w:p w:rsidR="00C46885" w:rsidRDefault="00C46885" w:rsidP="00C46885">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B1472A">
        <w:t xml:space="preserve">Sample </w:t>
      </w:r>
      <w:r w:rsidR="00B1472A">
        <w:rPr>
          <w:noProof/>
        </w:rPr>
        <w:t>8</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C46885" w:rsidRDefault="00C46885" w:rsidP="00C46885">
      <w:r>
        <w:lastRenderedPageBreak/>
        <w:t>As rules are called multiple times on the same timex, ordering preconditions can be set to chain normalisation of different components in a timex, however the GUTime rule set only does this in one case.</w:t>
      </w:r>
    </w:p>
    <w:p w:rsidR="009159A8" w:rsidRPr="00C46885" w:rsidRDefault="009159A8" w:rsidP="00C46885">
      <w:r>
        <w:t xml:space="preserve">Accuracy of translation from GUTime to the new TERNIP rule format was a key concern in implementing this rule set, and this was checked by comparing results 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B1472A">
        <w:t>5</w:t>
      </w:r>
      <w:r>
        <w:fldChar w:fldCharType="end"/>
      </w:r>
      <w:r>
        <w:t>.</w:t>
      </w:r>
    </w:p>
    <w:p w:rsidR="0065512A" w:rsidRDefault="00072F9B" w:rsidP="00ED5A76">
      <w:pPr>
        <w:pStyle w:val="Heading2"/>
      </w:pPr>
      <w:bookmarkStart w:id="83" w:name="_Ref270081455"/>
      <w:bookmarkStart w:id="84" w:name="_Ref270081470"/>
      <w:bookmarkStart w:id="85" w:name="_Ref270082008"/>
      <w:bookmarkStart w:id="86" w:name="_Toc270614689"/>
      <w:r>
        <w:t>Document Formats</w:t>
      </w:r>
      <w:bookmarkEnd w:id="83"/>
      <w:bookmarkEnd w:id="84"/>
      <w:bookmarkEnd w:id="85"/>
      <w:bookmarkEnd w:id="86"/>
    </w:p>
    <w:p w:rsidR="008E6DD9" w:rsidRDefault="008E6DD9" w:rsidP="008E6DD9">
      <w:r>
        <w:t xml:space="preserve">The restriction of TERNIP’s rule engines to operate on the internal format described in section </w:t>
      </w:r>
      <w:r>
        <w:fldChar w:fldCharType="begin"/>
      </w:r>
      <w:r>
        <w:instrText xml:space="preserve"> REF _Ref270419873 \r \h </w:instrText>
      </w:r>
      <w:r>
        <w:fldChar w:fldCharType="separate"/>
      </w:r>
      <w:r w:rsidR="00B1472A">
        <w:t>4.1</w:t>
      </w:r>
      <w:r>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proofErr w:type="spellStart"/>
      <w:r w:rsidR="00F448C7" w:rsidRPr="009619DA">
        <w:rPr>
          <w:rStyle w:val="Code"/>
        </w:rPr>
        <w:t>ternip.formats</w:t>
      </w:r>
      <w:proofErr w:type="spellEnd"/>
      <w:r w:rsidR="00F448C7">
        <w:t xml:space="preserve"> </w:t>
      </w:r>
      <w:r w:rsidR="004B14C2">
        <w:t>package, which implements</w:t>
      </w:r>
      <w:r w:rsidR="009619DA">
        <w:t xml:space="preserve">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Content>
          <w:r w:rsidR="00F62D76">
            <w:fldChar w:fldCharType="begin"/>
          </w:r>
          <w:r w:rsidR="00F62D76">
            <w:instrText xml:space="preserve">CITATION Pus09 \t  \l 2057 </w:instrText>
          </w:r>
          <w:r w:rsidR="00F62D76">
            <w:fldChar w:fldCharType="separate"/>
          </w:r>
          <w:r w:rsidR="00B1472A">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Content>
          <w:r>
            <w:fldChar w:fldCharType="begin"/>
          </w:r>
          <w:r>
            <w:instrText xml:space="preserve"> CITATION Lis01 \l 2057 </w:instrText>
          </w:r>
          <w:r>
            <w:fldChar w:fldCharType="separate"/>
          </w:r>
          <w:r w:rsidR="00B1472A">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B1472A">
        <w:t>6</w:t>
      </w:r>
      <w:r w:rsidR="00681861">
        <w:fldChar w:fldCharType="end"/>
      </w:r>
      <w:r w:rsidR="00681861">
        <w:t>.</w:t>
      </w:r>
    </w:p>
    <w:p w:rsidR="009D6096" w:rsidRDefault="006243AC" w:rsidP="008E6DD9">
      <w:r>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w:t>
      </w:r>
      <w:proofErr w:type="gramStart"/>
      <w:r w:rsidR="00CC2864" w:rsidRPr="00CC2864">
        <w:rPr>
          <w:rStyle w:val="Code"/>
        </w:rPr>
        <w:t>.&lt;</w:t>
      </w:r>
      <w:proofErr w:type="gramEnd"/>
      <w:r w:rsidR="00CC2864" w:rsidRPr="00CC2864">
        <w:rPr>
          <w:rStyle w:val="Code"/>
        </w:rPr>
        <w: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 xml:space="preserve">&lt;token </w:t>
      </w:r>
      <w:proofErr w:type="spellStart"/>
      <w:r w:rsidR="00CC2864" w:rsidRPr="00CC2864">
        <w:rPr>
          <w:rStyle w:val="Code"/>
        </w:rPr>
        <w:t>partofspeech</w:t>
      </w:r>
      <w:proofErr w:type="spellEnd"/>
      <w:r w:rsidR="00CC2864" w:rsidRPr="00CC2864">
        <w:rPr>
          <w:rStyle w:val="Code"/>
        </w:rPr>
        <w:t>=”NNP”&gt;TERNIP&lt;/token&gt;</w:t>
      </w:r>
      <w:r w:rsidR="00CC2864">
        <w:t xml:space="preserve">). Additional metadata TERNIP </w:t>
      </w:r>
      <w:r w:rsidR="00CC2864">
        <w:lastRenderedPageBreak/>
        <w:t xml:space="preserve">concerns itself with are timexes, which are element nodes spanning the extent of that timex, with attributes on the element node. The exact format of the timex element depends on the specifics of the format being used (e.g., </w:t>
      </w:r>
      <w:r w:rsidR="00CC2864" w:rsidRPr="00CC2864">
        <w:rPr>
          <w:rStyle w:val="Code"/>
        </w:rPr>
        <w:t>TIMEX2</w:t>
      </w:r>
      <w:r w:rsidR="00CC2864">
        <w:t xml:space="preserve"> for TIDES, </w:t>
      </w:r>
      <w:r w:rsidR="00CC2864" w:rsidRPr="00CC2864">
        <w:rPr>
          <w:rStyle w:val="Code"/>
        </w:rPr>
        <w:t>TIMEX3</w:t>
      </w:r>
      <w:r w:rsidR="00CC2864">
        <w:t xml:space="preserve"> for TimeML).</w:t>
      </w:r>
      <w:r w:rsidR="00D92857">
        <w:t xml:space="preserve"> The document formats in TERNIP support loading all of this metadata from an XML document, and adding it to an XML file.</w:t>
      </w:r>
    </w:p>
    <w:p w:rsidR="0046386B" w:rsidRDefault="0046386B" w:rsidP="008E6DD9">
      <w:r>
        <w:t xml:space="preserve">If sentence boundaries, token </w:t>
      </w:r>
      <w:proofErr w:type="gramStart"/>
      <w:r>
        <w:t>boundaries</w:t>
      </w:r>
      <w:proofErr w:type="gramEnd"/>
      <w:r>
        <w:t xml:space="preserve"> or part-of-speech tags are missing from the input document, TERNIP will use the NLTK </w:t>
      </w:r>
      <w:sdt>
        <w:sdtPr>
          <w:id w:val="1551041665"/>
          <w:citation/>
        </w:sdtPr>
        <w:sdtContent>
          <w:r>
            <w:fldChar w:fldCharType="begin"/>
          </w:r>
          <w:r>
            <w:instrText xml:space="preserve"> CITATION Bir09 \l 2057 </w:instrText>
          </w:r>
          <w:r>
            <w:fldChar w:fldCharType="separate"/>
          </w:r>
          <w:r w:rsidR="00B1472A">
            <w:rPr>
              <w:noProof/>
            </w:rPr>
            <w:t>(Bird, Klein, &amp; Loper, 2009)</w:t>
          </w:r>
          <w:r>
            <w:fldChar w:fldCharType="end"/>
          </w:r>
        </w:sdtContent>
      </w:sdt>
      <w:r>
        <w:t xml:space="preserve"> to add it.</w:t>
      </w:r>
    </w:p>
    <w:p w:rsidR="00580328" w:rsidRDefault="00580328" w:rsidP="008E6DD9">
      <w:r>
        <w:t xml:space="preserve">Supporting loading timex objects from documents in this way allows for TERNIP to run in just a normalisation role, where recognition is done by a third-party component, </w:t>
      </w:r>
      <w:r w:rsidR="004B14C2">
        <w:t>and</w:t>
      </w:r>
      <w:r>
        <w:t xml:space="preserve"> for conversion between types.</w:t>
      </w:r>
    </w:p>
    <w:p w:rsidR="0046386B" w:rsidRDefault="00092057" w:rsidP="008E6DD9">
      <w:r>
        <w:t xml:space="preserve">The Document Object Model </w:t>
      </w:r>
      <w:sdt>
        <w:sdtPr>
          <w:id w:val="-1726596247"/>
          <w:citation/>
        </w:sdtPr>
        <w:sdtContent>
          <w:r>
            <w:fldChar w:fldCharType="begin"/>
          </w:r>
          <w:r>
            <w:instrText xml:space="preserve"> CITATION App98 \l 2057 </w:instrText>
          </w:r>
          <w:r>
            <w:fldChar w:fldCharType="separate"/>
          </w:r>
          <w:r w:rsidR="00B1472A">
            <w:rPr>
              <w:noProof/>
            </w:rPr>
            <w:t>(Apparao, et al., 1998)</w:t>
          </w:r>
          <w:r>
            <w:fldChar w:fldCharType="end"/>
          </w:r>
        </w:sdtContent>
      </w:sdt>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 the act of reconciling the document with the internal format is harder, largely due to the whitespace lost during the tokenisation process, unless the sentence and token boundaries are tagged in the document.</w:t>
      </w:r>
    </w:p>
    <w:p w:rsidR="0046386B" w:rsidRDefault="0046386B" w:rsidP="008E6DD9">
      <w:r>
        <w:t>For reconciliation in a document with no sentence or token annotations, the strings in the document must be aligned with the relevant tokens. The DOM tree is traversed depth-first (text nodes can only appear as leafs) to handle one text 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w:t>
      </w:r>
      <w:proofErr w:type="gramStart"/>
      <w:r w:rsidR="008C67CD">
        <w:t>is</w:t>
      </w:r>
      <w:proofErr w:type="gramEnd"/>
      <w:r w:rsidR="008C67CD">
        <w:t xml:space="preserve"> split at that point and a new node indicating the extent inserted in the split. The next step is to determine how far this node should 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&lt;tag1&gt;</w:t>
      </w:r>
      <w:proofErr w:type="gramStart"/>
      <w:r w:rsidR="0076392D" w:rsidRPr="0076392D">
        <w:rPr>
          <w:rStyle w:val="Code"/>
        </w:rPr>
        <w:t>This</w:t>
      </w:r>
      <w:proofErr w:type="gramEnd"/>
      <w:r w:rsidR="0076392D" w:rsidRPr="0076392D">
        <w:rPr>
          <w:rStyle w:val="Code"/>
        </w:rPr>
        <w:t xml:space="preserve">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lastRenderedPageBreak/>
        <w:t>In order to implement the different XML formats supported by TERNIP: those with TIDES’ TIMEX2 tags and those with TimeML’s TIMEX3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B1472A">
        <w:t xml:space="preserve">Figure </w:t>
      </w:r>
      <w:r w:rsidR="00B1472A">
        <w:rPr>
          <w:noProof/>
        </w:rPr>
        <w:t>1</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uments from the internal format (with optional token 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68pt" o:ole="" o:bordertopcolor="this" o:borderleftcolor="this" o:borderbottomcolor="this" o:borderrightcolor="this">
            <v:imagedata r:id="rId25" o:title="" croptop="25967f" cropleft="4949f" cropright="24406f"/>
            <w10:bordertop type="single" width="4"/>
            <w10:borderleft type="single" width="4"/>
            <w10:borderbottom type="single" width="4"/>
            <w10:borderright type="single" width="4"/>
          </v:shape>
          <o:OLEObject Type="Embed" ProgID="Visio.Drawing.11" ShapeID="_x0000_i1025" DrawAspect="Content" ObjectID="_1344356552" r:id="rId26"/>
        </w:object>
      </w:r>
    </w:p>
    <w:p w:rsidR="00092057" w:rsidRDefault="009D6096" w:rsidP="009D6096">
      <w:pPr>
        <w:pStyle w:val="Caption"/>
        <w:jc w:val="center"/>
      </w:pPr>
      <w:bookmarkStart w:id="87" w:name="_Ref270431706"/>
      <w:r>
        <w:t xml:space="preserve">Figure </w:t>
      </w:r>
      <w:r>
        <w:fldChar w:fldCharType="begin"/>
      </w:r>
      <w:r>
        <w:instrText xml:space="preserve"> SEQ Figure \* ARABIC </w:instrText>
      </w:r>
      <w:r>
        <w:fldChar w:fldCharType="separate"/>
      </w:r>
      <w:r w:rsidR="00B1472A">
        <w:rPr>
          <w:noProof/>
        </w:rPr>
        <w:t>1</w:t>
      </w:r>
      <w:r>
        <w:fldChar w:fldCharType="end"/>
      </w:r>
      <w:bookmarkEnd w:id="87"/>
      <w:r>
        <w:t xml:space="preserve"> - Structure of ternip.formats package</w:t>
      </w:r>
      <w:r w:rsidR="000B621C">
        <w:t xml:space="preserve"> XML document classes</w:t>
      </w:r>
    </w:p>
    <w:p w:rsidR="0016405A" w:rsidRDefault="0016405A" w:rsidP="00580328">
      <w:r>
        <w:t xml:space="preserve">The ability to add sentence, token and part-of-speech tags to an existing XML document has utility beyond the scope of TERNIP. This ability was used </w:t>
      </w:r>
      <w:r w:rsidR="00526A28">
        <w:t>to develop</w:t>
      </w:r>
      <w:r>
        <w:t xml:space="preserve"> </w:t>
      </w:r>
      <w:r w:rsidR="00526A28">
        <w:t>a wrapper for</w:t>
      </w:r>
      <w:r>
        <w:t xml:space="preserve"> GUTime </w:t>
      </w:r>
      <w:sdt>
        <w:sdtPr>
          <w:id w:val="744841533"/>
          <w:citation/>
        </w:sdtPr>
        <w:sdtContent>
          <w:r>
            <w:fldChar w:fldCharType="begin"/>
          </w:r>
          <w:r>
            <w:instrText xml:space="preserve"> CITATION Ver05 \l 2057 </w:instrText>
          </w:r>
          <w:r>
            <w:fldChar w:fldCharType="separate"/>
          </w:r>
          <w:r w:rsidR="00B1472A">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The lack of token offset data in the internal format is problematic for 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necessary, a naïve approach is made to detokenisation, where a single space is inserted between every token.</w:t>
      </w:r>
    </w:p>
    <w:p w:rsidR="00941140" w:rsidRDefault="00941140" w:rsidP="00D1331F">
      <w:pPr>
        <w:sectPr w:rsidR="00941140" w:rsidSect="003F7D46">
          <w:headerReference w:type="default" r:id="rId27"/>
          <w:pgSz w:w="11907" w:h="16840" w:code="9"/>
          <w:pgMar w:top="1134" w:right="1418" w:bottom="1701" w:left="2098" w:header="709" w:footer="709" w:gutter="0"/>
          <w:cols w:space="708"/>
          <w:titlePg/>
          <w:docGrid w:linePitch="360"/>
        </w:sectPr>
      </w:pPr>
    </w:p>
    <w:p w:rsidR="000104F4" w:rsidRDefault="000104F4" w:rsidP="00DC59F0">
      <w:pPr>
        <w:pStyle w:val="Heading1"/>
      </w:pPr>
      <w:bookmarkStart w:id="88" w:name="_Ref270176962"/>
      <w:bookmarkStart w:id="89" w:name="_Toc270614690"/>
      <w:r>
        <w:lastRenderedPageBreak/>
        <w:t>Evaluation</w:t>
      </w:r>
      <w:bookmarkEnd w:id="88"/>
      <w:bookmarkEnd w:id="89"/>
    </w:p>
    <w:p w:rsidR="00071FBA" w:rsidRPr="00071FBA" w:rsidRDefault="00E76C6D" w:rsidP="00071FBA">
      <w:r>
        <w:t>The effectiveness of the implemented system is an important factor that needs to be considered. Below, the performance of the system in terms of the results of the temporal expression annotation process is evaluated, followed by a look at the speed of the system.</w:t>
      </w:r>
    </w:p>
    <w:p w:rsidR="000104F4" w:rsidRDefault="00331585" w:rsidP="00DC59F0">
      <w:pPr>
        <w:pStyle w:val="Heading2"/>
      </w:pPr>
      <w:bookmarkStart w:id="90" w:name="_Toc270614691"/>
      <w:r>
        <w:t>System Performance</w:t>
      </w:r>
      <w:bookmarkEnd w:id="90"/>
    </w:p>
    <w:p w:rsidR="000104F4" w:rsidRDefault="00331585" w:rsidP="00DC59F0">
      <w:r>
        <w:t xml:space="preserve">The metrics of precision and recall are ubiquitous throughout natural language processing and </w:t>
      </w:r>
      <w:r w:rsidR="00E11890">
        <w:t>are an effective measure of system performance.</w:t>
      </w:r>
      <w:r w:rsidR="00595F54">
        <w:t xml:space="preserve"> Precision is defined as the proportion of annotated timexes that are correct (i.e</w:t>
      </w:r>
      <w:r w:rsidR="008F37EE">
        <w:t>.,</w:t>
      </w:r>
      <w:r w:rsidR="00595F54">
        <w:t xml:space="preserve"> </w:t>
      </w:r>
      <m:oMath>
        <m:f>
          <m:fPr>
            <m:ctrlPr>
              <w:rPr>
                <w:rFonts w:ascii="Cambria Math" w:hAnsi="Cambria Math"/>
                <w:i/>
              </w:rPr>
            </m:ctrlPr>
          </m:fPr>
          <m:num>
            <m:r>
              <m:rPr>
                <m:nor/>
              </m:rPr>
              <w:rPr>
                <w:rFonts w:ascii="Cambria Math" w:hAnsi="Cambria Math"/>
              </w:rPr>
              <m:t>true positives</m:t>
            </m:r>
          </m:num>
          <m:den>
            <m:r>
              <m:rPr>
                <m:nor/>
              </m:rPr>
              <w:rPr>
                <w:rFonts w:ascii="Cambria Math" w:hAnsi="Cambria Math"/>
              </w:rPr>
              <m:t>false positives</m:t>
            </m:r>
            <m:r>
              <w:rPr>
                <w:rFonts w:ascii="Cambria Math" w:hAnsi="Cambria Math"/>
              </w:rPr>
              <m:t>+</m:t>
            </m:r>
            <m:r>
              <m:rPr>
                <m:nor/>
              </m:rPr>
              <w:rPr>
                <w:rFonts w:ascii="Cambria Math" w:hAnsi="Cambria Math"/>
              </w:rPr>
              <m:t>true positives</m:t>
            </m:r>
          </m:den>
        </m:f>
      </m:oMath>
      <w:r w:rsidR="00595F54">
        <w:t xml:space="preserve">), and recall as the proportion of all timexes that are correctly identified by the tool (i.e., </w:t>
      </w:r>
      <m:oMath>
        <m:f>
          <m:fPr>
            <m:ctrlPr>
              <w:rPr>
                <w:rFonts w:ascii="Cambria Math" w:hAnsi="Cambria Math"/>
                <w:i/>
              </w:rPr>
            </m:ctrlPr>
          </m:fPr>
          <m:num>
            <m:r>
              <m:rPr>
                <m:nor/>
              </m:rPr>
              <w:rPr>
                <w:rFonts w:ascii="Cambria Math" w:hAnsi="Cambria Math"/>
              </w:rPr>
              <m:t>true positives</m:t>
            </m:r>
          </m:num>
          <m:den>
            <m:r>
              <m:rPr>
                <m:nor/>
              </m:rPr>
              <w:rPr>
                <w:rFonts w:ascii="Cambria Math" w:hAnsi="Cambria Math"/>
              </w:rPr>
              <m:t>true positives</m:t>
            </m:r>
            <m:r>
              <w:rPr>
                <w:rFonts w:ascii="Cambria Math" w:hAnsi="Cambria Math"/>
              </w:rPr>
              <m:t>+</m:t>
            </m:r>
            <m:r>
              <m:rPr>
                <m:nor/>
              </m:rPr>
              <w:rPr>
                <w:rFonts w:ascii="Cambria Math" w:hAnsi="Cambria Math"/>
              </w:rPr>
              <m:t>false negatives</m:t>
            </m:r>
          </m:den>
        </m:f>
      </m:oMath>
      <w:r w:rsidR="00595F54">
        <w:t xml:space="preserve">). It is often considered more useful to think in terms of the harmonic mean of these </w:t>
      </w:r>
      <w:r w:rsidR="008F37EE">
        <w:t>two measures</w:t>
      </w:r>
      <w:r w:rsidR="00595F54">
        <w:t xml:space="preserve"> </w:t>
      </w:r>
      <w:r w:rsidR="008F37EE">
        <w:t>(</w:t>
      </w:r>
      <w:r w:rsidR="00595F54">
        <w:t xml:space="preserve">i.e., </w:t>
      </w:r>
      <m:oMath>
        <m:r>
          <w:rPr>
            <w:rFonts w:ascii="Cambria Math" w:hAnsi="Cambria Math"/>
          </w:rPr>
          <m:t>2×</m:t>
        </m:r>
        <m:f>
          <m:fPr>
            <m:ctrlPr>
              <w:rPr>
                <w:rFonts w:ascii="Cambria Math" w:hAnsi="Cambria Math"/>
                <w:i/>
              </w:rPr>
            </m:ctrlPr>
          </m:fPr>
          <m:num>
            <m:r>
              <m:rPr>
                <m:nor/>
              </m:rPr>
              <w:rPr>
                <w:rFonts w:ascii="Cambria Math" w:hAnsi="Cambria Math"/>
              </w:rPr>
              <m:t>precision</m:t>
            </m:r>
            <m:r>
              <w:rPr>
                <w:rFonts w:ascii="Cambria Math" w:hAnsi="Cambria Math"/>
              </w:rPr>
              <m:t xml:space="preserve"> × </m:t>
            </m:r>
            <m:r>
              <m:rPr>
                <m:nor/>
              </m:rPr>
              <w:rPr>
                <w:rFonts w:ascii="Cambria Math" w:hAnsi="Cambria Math"/>
              </w:rPr>
              <m:t>recall</m:t>
            </m:r>
          </m:num>
          <m:den>
            <m:r>
              <m:rPr>
                <m:nor/>
              </m:rPr>
              <w:rPr>
                <w:rFonts w:ascii="Cambria Math" w:hAnsi="Cambria Math"/>
              </w:rPr>
              <m:t>precision</m:t>
            </m:r>
            <m:r>
              <w:rPr>
                <w:rFonts w:ascii="Cambria Math" w:hAnsi="Cambria Math"/>
              </w:rPr>
              <m:t>+</m:t>
            </m:r>
            <m:r>
              <m:rPr>
                <m:nor/>
              </m:rPr>
              <w:rPr>
                <w:rFonts w:ascii="Cambria Math" w:hAnsi="Cambria Math"/>
              </w:rPr>
              <m:t>recall</m:t>
            </m:r>
          </m:den>
        </m:f>
      </m:oMath>
      <w:r w:rsidR="008F37EE">
        <w:t>)</w:t>
      </w:r>
      <w:r w:rsidR="00595F54">
        <w:t xml:space="preserve">, a </w:t>
      </w:r>
      <w:r w:rsidR="00822E95">
        <w:t>metric</w:t>
      </w:r>
      <w:r w:rsidR="00595F54">
        <w:t xml:space="preserve"> called the f-measure.</w:t>
      </w:r>
    </w:p>
    <w:p w:rsidR="002242B2" w:rsidRDefault="002242B2" w:rsidP="00DC59F0">
      <w:r>
        <w:t xml:space="preserve">The TERN </w:t>
      </w:r>
      <w:sdt>
        <w:sdtPr>
          <w:id w:val="-942539834"/>
          <w:citation/>
        </w:sdtPr>
        <w:sdtContent>
          <w:r>
            <w:fldChar w:fldCharType="begin"/>
          </w:r>
          <w:r>
            <w:instrText xml:space="preserve"> CITATION MIT04 \l 2057 </w:instrText>
          </w:r>
          <w:r>
            <w:fldChar w:fldCharType="separate"/>
          </w:r>
          <w:r w:rsidR="00B1472A">
            <w:rPr>
              <w:noProof/>
            </w:rPr>
            <w:t>(MITRE, 2004)</w:t>
          </w:r>
          <w:r>
            <w:fldChar w:fldCharType="end"/>
          </w:r>
        </w:sdtContent>
      </w:sdt>
      <w:r>
        <w:t xml:space="preserve"> and TempEval-2 </w:t>
      </w:r>
      <w:sdt>
        <w:sdtPr>
          <w:id w:val="667834071"/>
          <w:citation/>
        </w:sdtPr>
        <w:sdtContent>
          <w:r>
            <w:fldChar w:fldCharType="begin"/>
          </w:r>
          <w:r>
            <w:instrText xml:space="preserve">CITATION Pus09 \t  \l 2057 </w:instrText>
          </w:r>
          <w:r>
            <w:fldChar w:fldCharType="separate"/>
          </w:r>
          <w:r w:rsidR="00B1472A">
            <w:rPr>
              <w:noProof/>
            </w:rPr>
            <w:t>(Pustejovsky &amp; Verhagen, 2009)</w:t>
          </w:r>
          <w:r>
            <w:fldChar w:fldCharType="end"/>
          </w:r>
        </w:sdtContent>
      </w:sdt>
      <w:r>
        <w:t xml:space="preserve"> contests both provided sample gold standard corpora and a scoring mechanism for TIMEX2 and TimeML annotation respectively. These corpora and tools can therefore be used to evaluate the system, and give meaningful results </w:t>
      </w:r>
      <w:r w:rsidR="00071FBA">
        <w:t>to be compared against other systems.</w:t>
      </w:r>
    </w:p>
    <w:p w:rsidR="00071FBA" w:rsidRDefault="00071FBA" w:rsidP="00DC59F0">
      <w:r>
        <w:t>In order to satisfy the requirements that the system gives similar performance to GUTime, GUTime was also evaluated in the same experiments.</w:t>
      </w:r>
    </w:p>
    <w:p w:rsidR="00071FBA" w:rsidRDefault="00071FBA" w:rsidP="00DC59F0">
      <w:r>
        <w:t xml:space="preserve">The TERN corpus used is the ACE 2004 corpus, which consists of SGML documents. However, as TERNIP (and the pre-processing wrapper developed </w:t>
      </w:r>
      <w:r w:rsidR="00C35D2F">
        <w:t xml:space="preserve">for GUTime) can only handle XML, only the subset of the corpus that can be parsed as valid XML is considered. As the </w:t>
      </w:r>
      <w:r w:rsidR="00BB0EFB">
        <w:t xml:space="preserve">TERN scorer can only score one document at a time, this is not an issue, as the results from only the XML subset can be taken and the mean taken of the individual document f-measures to compute performance over the entire corpus. The TERN scorer outputs three relevant metrics for consideration with this project: recognition, extent, and normalisation. The recognition f-measure does not consider whether the extent of the </w:t>
      </w:r>
      <w:r w:rsidR="00BB0EFB" w:rsidRPr="00BB0EFB">
        <w:rPr>
          <w:rStyle w:val="Code"/>
        </w:rPr>
        <w:t>TIMEX2</w:t>
      </w:r>
      <w:r w:rsidR="00BB0EFB" w:rsidRPr="00BB0EFB">
        <w:t xml:space="preserve"> tags</w:t>
      </w:r>
      <w:r w:rsidR="00BB0EFB">
        <w:t xml:space="preserve"> differs, only that the expression was recognised, even if not totally (e.g., tagging “Monday” would still score as a match, even if the actual extent </w:t>
      </w:r>
      <w:proofErr w:type="gramStart"/>
      <w:r w:rsidR="00BB0EFB">
        <w:t>is</w:t>
      </w:r>
      <w:proofErr w:type="gramEnd"/>
      <w:r w:rsidR="00BB0EFB">
        <w:t xml:space="preserve"> “last Monday”</w:t>
      </w:r>
      <w:r w:rsidR="00A1218A">
        <w:t xml:space="preserve">). The extent f-measure also scores the recognition component, but unlike the recognition f-measure, only considers a </w:t>
      </w:r>
      <w:r w:rsidR="00A1218A" w:rsidRPr="00A1218A">
        <w:rPr>
          <w:rStyle w:val="Code"/>
        </w:rPr>
        <w:t>TIMEX2</w:t>
      </w:r>
      <w:r w:rsidR="00A1218A">
        <w:t xml:space="preserve"> as a true positive if the extents also match perfectly. The final metric, the normalisation </w:t>
      </w:r>
      <w:r w:rsidR="00F61277">
        <w:t>score</w:t>
      </w:r>
      <w:r w:rsidR="00A1218A">
        <w:t xml:space="preserve">, considers the </w:t>
      </w:r>
      <w:proofErr w:type="spellStart"/>
      <w:proofErr w:type="gramStart"/>
      <w:r w:rsidR="00A1218A" w:rsidRPr="00A1218A">
        <w:rPr>
          <w:rStyle w:val="Code"/>
        </w:rPr>
        <w:t>val</w:t>
      </w:r>
      <w:proofErr w:type="spellEnd"/>
      <w:proofErr w:type="gramEnd"/>
      <w:r w:rsidR="00A1218A">
        <w:t xml:space="preserve"> attribute on the </w:t>
      </w:r>
      <w:r w:rsidR="00A1218A" w:rsidRPr="00A1218A">
        <w:rPr>
          <w:rStyle w:val="Code"/>
        </w:rPr>
        <w:t>TIMEX2</w:t>
      </w:r>
      <w:r w:rsidR="00A1218A">
        <w:t xml:space="preserve"> tag, giving a true positive if the strings match. </w:t>
      </w:r>
      <w:r w:rsidR="000866E6">
        <w:t xml:space="preserve">The normalisation metric is given as the accuracy, i.e., the proportion of correctly annotated </w:t>
      </w:r>
      <w:proofErr w:type="spellStart"/>
      <w:proofErr w:type="gramStart"/>
      <w:r w:rsidR="000866E6" w:rsidRPr="000866E6">
        <w:rPr>
          <w:rStyle w:val="Code"/>
        </w:rPr>
        <w:t>val</w:t>
      </w:r>
      <w:proofErr w:type="spellEnd"/>
      <w:proofErr w:type="gramEnd"/>
      <w:r w:rsidR="000866E6">
        <w:t xml:space="preserve"> attributes to the number of TIMEX2 tags in the gold standard that </w:t>
      </w:r>
      <w:r w:rsidR="000866E6">
        <w:lastRenderedPageBreak/>
        <w:t xml:space="preserve">have </w:t>
      </w:r>
      <w:proofErr w:type="spellStart"/>
      <w:r w:rsidR="000866E6" w:rsidRPr="000866E6">
        <w:rPr>
          <w:rStyle w:val="Code"/>
        </w:rPr>
        <w:t>val</w:t>
      </w:r>
      <w:proofErr w:type="spellEnd"/>
      <w:r w:rsidR="000866E6">
        <w:t xml:space="preserve"> attributes. </w:t>
      </w:r>
      <w:r w:rsidR="00106951">
        <w:t xml:space="preserve">The TERN scorer was modified to convert the </w:t>
      </w:r>
      <w:proofErr w:type="spellStart"/>
      <w:r w:rsidR="00106951" w:rsidRPr="002C736B">
        <w:rPr>
          <w:rStyle w:val="Code"/>
        </w:rPr>
        <w:t>val</w:t>
      </w:r>
      <w:proofErr w:type="spellEnd"/>
      <w:r w:rsidR="00106951">
        <w:t xml:space="preserve"> attributes in both the gold standard and file to be scored into ISO 8601 basic format from extended, if need be. This issue is discussed </w:t>
      </w:r>
      <w:r w:rsidR="00AE26B4">
        <w:t>at</w:t>
      </w:r>
      <w:r w:rsidR="00106951">
        <w:t xml:space="preserve"> further length in section </w:t>
      </w:r>
      <w:r w:rsidR="00106951">
        <w:fldChar w:fldCharType="begin"/>
      </w:r>
      <w:r w:rsidR="00106951">
        <w:instrText xml:space="preserve"> REF _Ref270432977 \r \h </w:instrText>
      </w:r>
      <w:r w:rsidR="00106951">
        <w:fldChar w:fldCharType="separate"/>
      </w:r>
      <w:r w:rsidR="00B1472A">
        <w:t>6</w:t>
      </w:r>
      <w:r w:rsidR="00106951">
        <w:fldChar w:fldCharType="end"/>
      </w:r>
      <w:r w:rsidR="00106951">
        <w:t>.</w:t>
      </w:r>
    </w:p>
    <w:p w:rsidR="00AE26B4" w:rsidRDefault="00AE26B4" w:rsidP="00DC59F0">
      <w:r>
        <w:t>For the TempEval-2 evaluation, the training data set was used, and the scorer was adjusted similarly to the TERN scorer to convert ISO 8601 extended representati</w:t>
      </w:r>
      <w:r w:rsidR="00935394">
        <w:t>ons into their basic equivalent.</w:t>
      </w:r>
    </w:p>
    <w:p w:rsidR="00935394" w:rsidRDefault="00935394" w:rsidP="00DC59F0">
      <w:r>
        <w:t>Normalisation scoring for TempEval-2 proceeds as in TERN, but recognition scoring takes a different approach. The recognition score works on a per-token basis, rather than a per-timex and per-extent basis. Whether each token is included in a timex in both the gold standard and the file to be scored is used to determine how that tag should be classified.</w:t>
      </w:r>
      <w:r w:rsidR="001B38B2">
        <w:t xml:space="preserve"> This results in a metric which gives partial credit for incomplete extent r</w:t>
      </w:r>
      <w:r w:rsidR="004C0246">
        <w:t>ecognition, however does result in the score being skewed on expression length. Missing one 10-token timex will be penalised in the same way as missing ten 1-token timexes.</w:t>
      </w:r>
    </w:p>
    <w:p w:rsidR="009619A5" w:rsidRDefault="004C0246" w:rsidP="00DC59F0">
      <w:r>
        <w:t xml:space="preserve">An additional issue was identified with GUTime. In some circumstances, GUTime will introduce unbalanced TIMEX3 tags to a valid XML document, making it invalid for parsing back to the TempEval-2 annotation format. </w:t>
      </w:r>
      <w:r w:rsidR="00C359AB">
        <w:t>TempEval-2 scoring works on the entire corpus at once, not on a per-document basis as with TERN, and as documents it corrupts cannot be loaded back in, the scorer sees it as if GUTime tagged nothing in those documents, giving GUTime an artificially lower score.</w:t>
      </w:r>
    </w:p>
    <w:p w:rsidR="009619A5" w:rsidRDefault="009619A5" w:rsidP="00DC59F0"/>
    <w:tbl>
      <w:tblPr>
        <w:tblStyle w:val="LightList1"/>
        <w:tblW w:w="0" w:type="auto"/>
        <w:jc w:val="center"/>
        <w:tblLook w:val="00A0" w:firstRow="1" w:lastRow="0" w:firstColumn="1" w:lastColumn="0" w:noHBand="0" w:noVBand="0"/>
      </w:tblPr>
      <w:tblGrid>
        <w:gridCol w:w="2891"/>
        <w:gridCol w:w="1062"/>
        <w:gridCol w:w="1104"/>
      </w:tblGrid>
      <w:tr w:rsidR="00F61277"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F61277">
            <w:r>
              <w:t>TERN evaluation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TERNIP</w:t>
            </w:r>
          </w:p>
        </w:tc>
        <w:tc>
          <w:tcPr>
            <w:tcW w:w="0" w:type="auto"/>
          </w:tcPr>
          <w:p w:rsidR="00F61277" w:rsidRDefault="00F61277" w:rsidP="00DC59F0">
            <w:pPr>
              <w:cnfStyle w:val="100000000000" w:firstRow="1" w:lastRow="0" w:firstColumn="0" w:lastColumn="0" w:oddVBand="0" w:evenVBand="0" w:oddHBand="0" w:evenHBand="0" w:firstRowFirstColumn="0" w:firstRowLastColumn="0" w:lastRowFirstColumn="0" w:lastRowLastColumn="0"/>
            </w:pPr>
            <w:r>
              <w:t>GUTime</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0.72</w:t>
            </w:r>
          </w:p>
        </w:tc>
        <w:tc>
          <w:tcPr>
            <w:tcW w:w="0" w:type="auto"/>
          </w:tcPr>
          <w:p w:rsidR="00F61277" w:rsidRDefault="00F61277" w:rsidP="00DC59F0">
            <w:pPr>
              <w:cnfStyle w:val="000000100000" w:firstRow="0" w:lastRow="0" w:firstColumn="0" w:lastColumn="0" w:oddVBand="0" w:evenVBand="0" w:oddHBand="1" w:evenHBand="0" w:firstRowFirstColumn="0" w:firstRowLastColumn="0" w:lastRowFirstColumn="0" w:lastRowLastColumn="0"/>
            </w:pPr>
            <w:r>
              <w:t>0.72</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Extent</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0.61</w:t>
            </w:r>
          </w:p>
        </w:tc>
        <w:tc>
          <w:tcPr>
            <w:tcW w:w="0" w:type="auto"/>
          </w:tcPr>
          <w:p w:rsidR="00F61277" w:rsidRDefault="00F61277" w:rsidP="00DC59F0">
            <w:pPr>
              <w:cnfStyle w:val="000000000000" w:firstRow="0" w:lastRow="0" w:firstColumn="0" w:lastColumn="0" w:oddVBand="0" w:evenVBand="0" w:oddHBand="0" w:evenHBand="0" w:firstRowFirstColumn="0" w:firstRowLastColumn="0" w:lastRowFirstColumn="0" w:lastRowLastColumn="0"/>
            </w:pPr>
            <w:r>
              <w:t>0.60</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F61277">
            <w:pPr>
              <w:jc w:val="left"/>
            </w:pPr>
            <w:r>
              <w:t>0.83</w:t>
            </w:r>
          </w:p>
        </w:tc>
        <w:tc>
          <w:tcPr>
            <w:tcW w:w="0" w:type="auto"/>
          </w:tcPr>
          <w:p w:rsidR="00F61277" w:rsidRDefault="00F61277" w:rsidP="00DC59F0">
            <w:pPr>
              <w:cnfStyle w:val="000000100000" w:firstRow="0" w:lastRow="0" w:firstColumn="0" w:lastColumn="0" w:oddVBand="0" w:evenVBand="0" w:oddHBand="1" w:evenHBand="0" w:firstRowFirstColumn="0" w:firstRowLastColumn="0" w:lastRowFirstColumn="0" w:lastRowLastColumn="0"/>
            </w:pPr>
            <w:r>
              <w:t>0.55</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F61277" w:rsidRDefault="00F61277" w:rsidP="00F61277">
            <w:r>
              <w:t>TempEval-2 evaluation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0000" w:themeFill="text1"/>
          </w:tcPr>
          <w:p w:rsidR="00F61277" w:rsidRDefault="00F61277" w:rsidP="00DC59F0"/>
        </w:tc>
        <w:tc>
          <w:tcPr>
            <w:tcW w:w="0" w:type="auto"/>
            <w:shd w:val="clear" w:color="auto" w:fill="000000" w:themeFill="text1"/>
          </w:tcPr>
          <w:p w:rsidR="00F61277" w:rsidRDefault="00F61277" w:rsidP="00DC59F0">
            <w:pPr>
              <w:cnfStyle w:val="000000000000" w:firstRow="0" w:lastRow="0" w:firstColumn="0" w:lastColumn="0" w:oddVBand="0" w:evenVBand="0" w:oddHBand="0" w:evenHBand="0" w:firstRowFirstColumn="0" w:firstRowLastColumn="0" w:lastRowFirstColumn="0" w:lastRowLastColumn="0"/>
            </w:pP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 (per-token)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0.79</w:t>
            </w:r>
          </w:p>
        </w:tc>
        <w:tc>
          <w:tcPr>
            <w:tcW w:w="0" w:type="auto"/>
          </w:tcPr>
          <w:p w:rsidR="00F61277" w:rsidRDefault="00F61277" w:rsidP="00DC59F0">
            <w:pPr>
              <w:cnfStyle w:val="000000100000" w:firstRow="0" w:lastRow="0" w:firstColumn="0" w:lastColumn="0" w:oddVBand="0" w:evenVBand="0" w:oddHBand="1" w:evenHBand="0" w:firstRowFirstColumn="0" w:firstRowLastColumn="0" w:lastRowFirstColumn="0" w:lastRowLastColumn="0"/>
            </w:pPr>
            <w:r>
              <w:t>0.64</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0.73</w:t>
            </w:r>
          </w:p>
        </w:tc>
        <w:tc>
          <w:tcPr>
            <w:tcW w:w="0" w:type="auto"/>
          </w:tcPr>
          <w:p w:rsidR="00F61277" w:rsidRDefault="00F61277" w:rsidP="00772710">
            <w:pPr>
              <w:keepNext/>
              <w:cnfStyle w:val="000000000000" w:firstRow="0" w:lastRow="0" w:firstColumn="0" w:lastColumn="0" w:oddVBand="0" w:evenVBand="0" w:oddHBand="0" w:evenHBand="0" w:firstRowFirstColumn="0" w:firstRowLastColumn="0" w:lastRowFirstColumn="0" w:lastRowLastColumn="0"/>
            </w:pPr>
            <w:r>
              <w:t>0.65</w:t>
            </w:r>
          </w:p>
        </w:tc>
      </w:tr>
    </w:tbl>
    <w:p w:rsidR="00C359AB" w:rsidRDefault="00772710" w:rsidP="00772710">
      <w:pPr>
        <w:pStyle w:val="Caption"/>
        <w:jc w:val="center"/>
      </w:pPr>
      <w:r>
        <w:t xml:space="preserve">Table </w:t>
      </w:r>
      <w:r>
        <w:fldChar w:fldCharType="begin"/>
      </w:r>
      <w:r>
        <w:instrText xml:space="preserve"> SEQ Table \* ARABIC </w:instrText>
      </w:r>
      <w:r>
        <w:fldChar w:fldCharType="separate"/>
      </w:r>
      <w:r w:rsidR="00B1472A">
        <w:rPr>
          <w:noProof/>
        </w:rPr>
        <w:t>5</w:t>
      </w:r>
      <w:r>
        <w:fldChar w:fldCharType="end"/>
      </w:r>
      <w:r>
        <w:t xml:space="preserve"> - TERNIP and GUTime performance scores</w:t>
      </w:r>
    </w:p>
    <w:p w:rsidR="00331585" w:rsidRDefault="00331585" w:rsidP="00331585">
      <w:pPr>
        <w:pStyle w:val="Heading2"/>
      </w:pPr>
      <w:bookmarkStart w:id="91" w:name="_Toc270614692"/>
      <w:r>
        <w:t>Speed and Throughput</w:t>
      </w:r>
      <w:bookmarkEnd w:id="91"/>
    </w:p>
    <w:p w:rsidR="00C25F0F" w:rsidRDefault="00E11890" w:rsidP="00331585">
      <w:r>
        <w:t>Another</w:t>
      </w:r>
      <w:r w:rsidR="00C25F0F">
        <w:t xml:space="preserve"> key metric for evaluating system performance is that of speed of the system, both in terms of actual time, and in data throughput. To remove the overhead of the NLTK tokenisation and part-of-speech tagging routines, the subset of TERN corpus that can be parsed as XML</w:t>
      </w:r>
      <w:r w:rsidR="00BB1DFE">
        <w:t xml:space="preserve"> (226 documents)</w:t>
      </w:r>
      <w:r w:rsidR="00C25F0F">
        <w:t xml:space="preserve"> was first marked up with sentence boundaries, token boundaries, and part-of-speech tags</w:t>
      </w:r>
      <w:r w:rsidR="000C7D30">
        <w:t>.</w:t>
      </w:r>
    </w:p>
    <w:p w:rsidR="00BB1DFE" w:rsidRDefault="00BB1DFE" w:rsidP="00C25F0F">
      <w:r>
        <w:t xml:space="preserve">As performance against GUTime is a key concern for this project, GUTime was also evaluated in the same way against the same dataset. The pre-processing to add the sentence, token and part-of-speech information for TERNIP (to avoid </w:t>
      </w:r>
      <w:r>
        <w:lastRenderedPageBreak/>
        <w:t>NLTK overheads) is also required for GUTime, so it can be run directly on this pre-processed dataset.</w:t>
      </w:r>
    </w:p>
    <w:p w:rsidR="00154963" w:rsidRDefault="00154963" w:rsidP="00C25F0F">
      <w:r>
        <w:t>A final concern for giving a fair result is that GUTime is likely to have substantial overhead due to the Perl interpreter and script having to be loaded per document, whereas</w:t>
      </w:r>
      <w:r w:rsidR="0061289F">
        <w:t xml:space="preserve"> using</w:t>
      </w:r>
      <w:r>
        <w:t xml:space="preserve"> the TERNIP API </w:t>
      </w:r>
      <w:r w:rsidR="0061289F">
        <w:t>eliminates</w:t>
      </w:r>
      <w:r>
        <w:t xml:space="preserve"> have this overhead, as the </w:t>
      </w:r>
      <w:r w:rsidR="0061289F">
        <w:t>library can stay in memory betwee</w:t>
      </w:r>
      <w:r w:rsidR="007C25F5">
        <w:t>n multiple documents. To give a fairer result, the documents are passed to the TERNIP script, as well as annotated using the API, and compared to GUTime’s result.</w:t>
      </w:r>
    </w:p>
    <w:p w:rsidR="000D0631" w:rsidRDefault="000D0631" w:rsidP="00C25F0F">
      <w:r>
        <w:t xml:space="preserve">Another, less realistic, method to discover throughput is create a single large file, and giving that to the taggers. This file was constructed by </w:t>
      </w:r>
      <w:r w:rsidR="00200582">
        <w:t>taking the file ‘</w:t>
      </w:r>
      <w:r w:rsidR="00200582" w:rsidRPr="00200582">
        <w:t>20000715_AFP_ARB.0054.eng</w:t>
      </w:r>
      <w:r w:rsidR="00200582">
        <w:t>’ from the TERN corpus, and th</w:t>
      </w:r>
      <w:r w:rsidR="00C227A2">
        <w:t>en repeating the content within the body of the document 100 times.</w:t>
      </w:r>
    </w:p>
    <w:p w:rsidR="005701A7" w:rsidRDefault="005701A7" w:rsidP="00C25F0F">
      <w:r>
        <w:t xml:space="preserve">The entire system was also evaluated against the TERN dataset, including the tokenisation and part-of-speech tagging processes from the NLTK, both as part of the TERNIP API and as a wrapper around GUTime, which gives an indicator of real world performance, when handling </w:t>
      </w:r>
      <w:r w:rsidR="00AC758F">
        <w:t>unprocessed</w:t>
      </w:r>
      <w:r>
        <w:t xml:space="preserve"> data.</w:t>
      </w:r>
    </w:p>
    <w:p w:rsidR="003D3B2A" w:rsidRPr="00C25F0F" w:rsidRDefault="003D3B2A" w:rsidP="00C25F0F">
      <w:r>
        <w:t xml:space="preserve">The speed and throughput tests were repeated </w:t>
      </w:r>
      <w:r w:rsidR="00200582">
        <w:t>five</w:t>
      </w:r>
      <w:r>
        <w:t xml:space="preserve"> times, and the mean taken, which is shown in </w:t>
      </w:r>
      <w:r>
        <w:fldChar w:fldCharType="begin"/>
      </w:r>
      <w:r>
        <w:instrText xml:space="preserve"> REF _Ref270525950 \h </w:instrText>
      </w:r>
      <w:r>
        <w:fldChar w:fldCharType="separate"/>
      </w:r>
      <w:r w:rsidR="00B1472A">
        <w:t xml:space="preserve">Table </w:t>
      </w:r>
      <w:r w:rsidR="00B1472A">
        <w:rPr>
          <w:noProof/>
        </w:rPr>
        <w:t>6</w:t>
      </w:r>
      <w:r>
        <w:fldChar w:fldCharType="end"/>
      </w:r>
      <w:r>
        <w:t>.</w:t>
      </w:r>
      <w:r w:rsidR="00723885">
        <w:t xml:space="preserve"> This experiment was performed on a modern PC</w:t>
      </w:r>
      <w:r w:rsidR="00667403" w:rsidRPr="00667403">
        <w:t xml:space="preserve"> </w:t>
      </w:r>
      <w:r w:rsidR="00667403">
        <w:t>with a 2.4 GHz Intel Core 2 Quad Q6600 processor, 4 GB RAM and Intel X25M hard drive, running Windows 7 x64, Python 2.6.5 and Strawberry Perl 5.12.0.</w:t>
      </w:r>
    </w:p>
    <w:tbl>
      <w:tblPr>
        <w:tblStyle w:val="LightList1"/>
        <w:tblW w:w="0" w:type="auto"/>
        <w:jc w:val="center"/>
        <w:tblInd w:w="1668" w:type="dxa"/>
        <w:tblLook w:val="00A0" w:firstRow="1" w:lastRow="0" w:firstColumn="1" w:lastColumn="0" w:noHBand="0" w:noVBand="0"/>
      </w:tblPr>
      <w:tblGrid>
        <w:gridCol w:w="2976"/>
        <w:gridCol w:w="1985"/>
        <w:gridCol w:w="1978"/>
      </w:tblGrid>
      <w:tr w:rsidR="005354B2"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vAlign w:val="center"/>
          </w:tcPr>
          <w:p w:rsidR="005354B2" w:rsidRDefault="005354B2" w:rsidP="005354B2">
            <w:pPr>
              <w:jc w:val="left"/>
            </w:pPr>
            <w:r>
              <w:t>Multi-Document</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5354B2" w:rsidRDefault="005354B2" w:rsidP="005354B2">
            <w:pPr>
              <w:jc w:val="center"/>
            </w:pPr>
            <w:r>
              <w:t>Execution time (s)</w:t>
            </w:r>
          </w:p>
        </w:tc>
        <w:tc>
          <w:tcPr>
            <w:tcW w:w="1978" w:type="dxa"/>
            <w:vAlign w:val="center"/>
          </w:tcPr>
          <w:p w:rsidR="005354B2" w:rsidRDefault="005354B2" w:rsidP="005354B2">
            <w:pPr>
              <w:jc w:val="center"/>
              <w:cnfStyle w:val="100000000000" w:firstRow="1" w:lastRow="0" w:firstColumn="0" w:lastColumn="0" w:oddVBand="0" w:evenVBand="0" w:oddHBand="0" w:evenHBand="0" w:firstRowFirstColumn="0" w:firstRowLastColumn="0" w:lastRowFirstColumn="0" w:lastRowLastColumn="0"/>
            </w:pPr>
            <w:r>
              <w:t>Throughput (kbytes/s)</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667403" w:rsidP="00DC59F0">
            <w:r>
              <w:t>324.4</w:t>
            </w:r>
          </w:p>
        </w:tc>
        <w:tc>
          <w:tcPr>
            <w:tcW w:w="1978" w:type="dxa"/>
          </w:tcPr>
          <w:p w:rsidR="005354B2" w:rsidRDefault="00595F54" w:rsidP="00DC59F0">
            <w:pPr>
              <w:cnfStyle w:val="000000100000" w:firstRow="0" w:lastRow="0" w:firstColumn="0" w:lastColumn="0" w:oddVBand="0" w:evenVBand="0" w:oddHBand="1" w:evenHBand="0" w:firstRowFirstColumn="0" w:firstRowLastColumn="0" w:lastRowFirstColumn="0" w:lastRowLastColumn="0"/>
            </w:pPr>
            <w:r>
              <w:t>5.075</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0D0631" w:rsidP="00DC59F0">
            <w:r>
              <w:t>50.64</w:t>
            </w:r>
          </w:p>
        </w:tc>
        <w:tc>
          <w:tcPr>
            <w:tcW w:w="1978" w:type="dxa"/>
          </w:tcPr>
          <w:p w:rsidR="005354B2" w:rsidRDefault="000D0631" w:rsidP="00DC59F0">
            <w:pPr>
              <w:cnfStyle w:val="000000000000" w:firstRow="0" w:lastRow="0" w:firstColumn="0" w:lastColumn="0" w:oddVBand="0" w:evenVBand="0" w:oddHBand="0" w:evenHBand="0" w:firstRowFirstColumn="0" w:firstRowLastColumn="0" w:lastRowFirstColumn="0" w:lastRowLastColumn="0"/>
            </w:pPr>
            <w:r>
              <w:t>32.51</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5354B2">
            <w:r>
              <w:t>GUTime</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190C65" w:rsidP="00DC59F0">
            <w:r>
              <w:t>88.65</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18.57</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shd w:val="clear" w:color="auto" w:fill="000000" w:themeFill="text1"/>
          </w:tcPr>
          <w:p w:rsidR="005354B2" w:rsidRDefault="005354B2" w:rsidP="005354B2">
            <w:r>
              <w:t>Single Document</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000000" w:themeFill="text1"/>
          </w:tcPr>
          <w:p w:rsidR="005354B2" w:rsidRDefault="005354B2" w:rsidP="00DC59F0"/>
        </w:tc>
        <w:tc>
          <w:tcPr>
            <w:tcW w:w="1978" w:type="dxa"/>
            <w:shd w:val="clear" w:color="auto" w:fill="000000" w:themeFill="text1"/>
          </w:tcPr>
          <w:p w:rsidR="005354B2" w:rsidRDefault="005354B2" w:rsidP="00DC59F0">
            <w:pPr>
              <w:cnfStyle w:val="000000000000" w:firstRow="0" w:lastRow="0" w:firstColumn="0" w:lastColumn="0" w:oddVBand="0" w:evenVBand="0" w:oddHBand="0" w:evenHBand="0" w:firstRowFirstColumn="0" w:firstRowLastColumn="0" w:lastRowFirstColumn="0" w:lastRowLastColumn="0"/>
            </w:pP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23.67</w:t>
            </w:r>
          </w:p>
        </w:tc>
        <w:tc>
          <w:tcPr>
            <w:tcW w:w="1978" w:type="dxa"/>
          </w:tcPr>
          <w:p w:rsidR="005354B2" w:rsidRDefault="005354B2" w:rsidP="00DC59F0">
            <w:pPr>
              <w:cnfStyle w:val="000000100000" w:firstRow="0" w:lastRow="0" w:firstColumn="0" w:lastColumn="0" w:oddVBand="0" w:evenVBand="0" w:oddHBand="1" w:evenHBand="0" w:firstRowFirstColumn="0" w:firstRowLastColumn="0" w:lastRowFirstColumn="0" w:lastRowLastColumn="0"/>
            </w:pPr>
            <w:r>
              <w:t>28.18</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 xml:space="preserve">GUTime </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15.65</w:t>
            </w:r>
          </w:p>
        </w:tc>
        <w:tc>
          <w:tcPr>
            <w:tcW w:w="1978" w:type="dxa"/>
          </w:tcPr>
          <w:p w:rsidR="005354B2" w:rsidRDefault="005354B2" w:rsidP="00BB1DFE">
            <w:pPr>
              <w:keepNext/>
              <w:cnfStyle w:val="000000000000" w:firstRow="0" w:lastRow="0" w:firstColumn="0" w:lastColumn="0" w:oddVBand="0" w:evenVBand="0" w:oddHBand="0" w:evenHBand="0" w:firstRowFirstColumn="0" w:firstRowLastColumn="0" w:lastRowFirstColumn="0" w:lastRowLastColumn="0"/>
            </w:pPr>
            <w:r>
              <w:t>42.63</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9" w:type="dxa"/>
            <w:gridSpan w:val="3"/>
            <w:shd w:val="clear" w:color="auto" w:fill="000000" w:themeFill="text1"/>
          </w:tcPr>
          <w:p w:rsidR="002D0ABA" w:rsidRDefault="002D0ABA" w:rsidP="00BB1DFE">
            <w:pPr>
              <w:keepNext/>
            </w:pPr>
            <w:r>
              <w:t>Multi-Document (including pre-processing)</w:t>
            </w:r>
          </w:p>
        </w:tc>
      </w:tr>
      <w:tr w:rsidR="002D0ABA"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146.0</w:t>
            </w:r>
          </w:p>
        </w:tc>
        <w:tc>
          <w:tcPr>
            <w:tcW w:w="1978" w:type="dxa"/>
            <w:vAlign w:val="center"/>
          </w:tcPr>
          <w:p w:rsidR="002D0ABA" w:rsidRDefault="00BB4FB0" w:rsidP="00667403">
            <w:pPr>
              <w:keepNext/>
              <w:jc w:val="left"/>
              <w:cnfStyle w:val="000000000000" w:firstRow="0" w:lastRow="0" w:firstColumn="0" w:lastColumn="0" w:oddVBand="0" w:evenVBand="0" w:oddHBand="0" w:evenHBand="0" w:firstRowFirstColumn="0" w:firstRowLastColumn="0" w:lastRowFirstColumn="0" w:lastRowLastColumn="0"/>
            </w:pPr>
            <w:r>
              <w:t>6.709</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GUTime</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461.2</w:t>
            </w:r>
          </w:p>
        </w:tc>
        <w:tc>
          <w:tcPr>
            <w:tcW w:w="1978" w:type="dxa"/>
          </w:tcPr>
          <w:p w:rsidR="002D0ABA" w:rsidRDefault="00BB4FB0" w:rsidP="00BB1DFE">
            <w:pPr>
              <w:keepNext/>
              <w:cnfStyle w:val="000000100000" w:firstRow="0" w:lastRow="0" w:firstColumn="0" w:lastColumn="0" w:oddVBand="0" w:evenVBand="0" w:oddHBand="1" w:evenHBand="0" w:firstRowFirstColumn="0" w:firstRowLastColumn="0" w:lastRowFirstColumn="0" w:lastRowLastColumn="0"/>
            </w:pPr>
            <w:r>
              <w:t>2.124</w:t>
            </w:r>
          </w:p>
        </w:tc>
      </w:tr>
    </w:tbl>
    <w:p w:rsidR="005354B2" w:rsidRDefault="00BB1DFE" w:rsidP="00F61277">
      <w:pPr>
        <w:pStyle w:val="Caption"/>
        <w:jc w:val="center"/>
      </w:pPr>
      <w:bookmarkStart w:id="92" w:name="_Ref270525950"/>
      <w:r>
        <w:t xml:space="preserve">Table </w:t>
      </w:r>
      <w:r>
        <w:fldChar w:fldCharType="begin"/>
      </w:r>
      <w:r>
        <w:instrText xml:space="preserve"> SEQ Table \* ARABIC </w:instrText>
      </w:r>
      <w:r>
        <w:fldChar w:fldCharType="separate"/>
      </w:r>
      <w:r w:rsidR="00B1472A">
        <w:rPr>
          <w:noProof/>
        </w:rPr>
        <w:t>6</w:t>
      </w:r>
      <w:r>
        <w:fldChar w:fldCharType="end"/>
      </w:r>
      <w:bookmarkEnd w:id="92"/>
      <w:r>
        <w:t xml:space="preserve"> - Performance of TERNIP and GUTime against the TERN corpus</w:t>
      </w:r>
    </w:p>
    <w:p w:rsidR="000104F4" w:rsidRPr="00A31840" w:rsidRDefault="000104F4" w:rsidP="00A31840">
      <w:pPr>
        <w:sectPr w:rsidR="000104F4" w:rsidRPr="00A31840" w:rsidSect="00DC59F0">
          <w:headerReference w:type="default" r:id="rId28"/>
          <w:pgSz w:w="11907" w:h="16840" w:code="9"/>
          <w:pgMar w:top="1134" w:right="1418" w:bottom="1701" w:left="2098" w:header="709" w:footer="709" w:gutter="0"/>
          <w:cols w:space="708"/>
          <w:docGrid w:linePitch="360"/>
        </w:sectPr>
      </w:pPr>
    </w:p>
    <w:p w:rsidR="001E3E3B" w:rsidRDefault="001E3E3B" w:rsidP="00DC59F0">
      <w:pPr>
        <w:pStyle w:val="Heading1"/>
      </w:pPr>
      <w:bookmarkStart w:id="93" w:name="_Ref270432977"/>
      <w:bookmarkStart w:id="94" w:name="_Toc270614693"/>
      <w:r>
        <w:lastRenderedPageBreak/>
        <w:t>Discussion</w:t>
      </w:r>
      <w:bookmarkEnd w:id="93"/>
      <w:bookmarkEnd w:id="94"/>
    </w:p>
    <w:p w:rsidR="003F7D46" w:rsidRDefault="003F7D46" w:rsidP="003F7D46">
      <w:pPr>
        <w:pStyle w:val="Heading2"/>
      </w:pPr>
      <w:bookmarkStart w:id="95" w:name="_Toc270614694"/>
      <w:r>
        <w:t>Meeting The Requirements</w:t>
      </w:r>
      <w:bookmarkEnd w:id="95"/>
    </w:p>
    <w:p w:rsidR="003F7D46" w:rsidRDefault="003F7D46" w:rsidP="003F7D46">
      <w:r>
        <w:t>Does TERNIP meet the requirements defined above?</w:t>
      </w:r>
    </w:p>
    <w:p w:rsidR="003F7D46" w:rsidRDefault="003F7D46" w:rsidP="003F7D46">
      <w:pPr>
        <w:pStyle w:val="Heading2"/>
      </w:pPr>
      <w:bookmarkStart w:id="96" w:name="_Toc270614695"/>
      <w:r>
        <w:t>Implementation Issues</w:t>
      </w:r>
      <w:bookmarkEnd w:id="96"/>
    </w:p>
    <w:p w:rsidR="003F7D46" w:rsidRDefault="003F7D46" w:rsidP="003F7D46">
      <w:pPr>
        <w:pStyle w:val="ListParagraph"/>
        <w:numPr>
          <w:ilvl w:val="0"/>
          <w:numId w:val="5"/>
        </w:numPr>
      </w:pPr>
      <w:r>
        <w:t>Difficulties of making engine tag neutral because of differences in set notation between TIMEX2 and TIMEX3. TIMEX object very TIMEX3 oriented – a theoretical TIMEX4, or indeed completely different notation will be different</w:t>
      </w:r>
    </w:p>
    <w:p w:rsidR="003F7D46" w:rsidRDefault="003F7D46" w:rsidP="003F7D46">
      <w:pPr>
        <w:pStyle w:val="ListParagraph"/>
        <w:numPr>
          <w:ilvl w:val="0"/>
          <w:numId w:val="5"/>
        </w:numPr>
      </w:pPr>
      <w:r>
        <w:t>Internal use of ISO8601 basic also problematic, perhaps a more abstract object would have been better (but possibly made rules more verbose)</w:t>
      </w:r>
    </w:p>
    <w:p w:rsidR="003F7D46" w:rsidRDefault="003F7D46" w:rsidP="003F7D46">
      <w:pPr>
        <w:pStyle w:val="ListParagraph"/>
        <w:numPr>
          <w:ilvl w:val="0"/>
          <w:numId w:val="5"/>
        </w:numPr>
      </w:pPr>
      <w:r>
        <w:t>Criticism of GUTime – not really ported to TIMEX3 well (VAL vs. VALUE, etc.)</w:t>
      </w:r>
      <w:r w:rsidRPr="003F7D46">
        <w:t xml:space="preserve"> </w:t>
      </w:r>
    </w:p>
    <w:p w:rsidR="003F7D46" w:rsidRDefault="003F7D46" w:rsidP="003F7D46">
      <w:pPr>
        <w:pStyle w:val="ListParagraph"/>
        <w:numPr>
          <w:ilvl w:val="0"/>
          <w:numId w:val="5"/>
        </w:numPr>
      </w:pPr>
      <w:r>
        <w:t>Some rules error if there’s not DCT</w:t>
      </w:r>
    </w:p>
    <w:p w:rsidR="003F7D46" w:rsidRDefault="003F7D46" w:rsidP="003F7D46">
      <w:pPr>
        <w:pStyle w:val="Heading2"/>
      </w:pPr>
      <w:bookmarkStart w:id="97" w:name="_Toc270614696"/>
      <w:r>
        <w:t>Standard and Corpora Deficiencies</w:t>
      </w:r>
      <w:bookmarkEnd w:id="97"/>
    </w:p>
    <w:p w:rsidR="003F7D46" w:rsidRDefault="003F7D46" w:rsidP="003F7D46">
      <w:pPr>
        <w:pStyle w:val="ListParagraph"/>
        <w:numPr>
          <w:ilvl w:val="0"/>
          <w:numId w:val="5"/>
        </w:numPr>
      </w:pPr>
      <w:r>
        <w:t>Perceived deficiencies in the TimeML spec, specifically the QUANT field, ambiguities in ISO spec: ISO basic/extended both allowed, also issuing with scoring software. Is P7D = P1W?</w:t>
      </w:r>
    </w:p>
    <w:p w:rsidR="003F7D46" w:rsidRDefault="003F7D46" w:rsidP="003F7D46">
      <w:pPr>
        <w:pStyle w:val="ListParagraph"/>
        <w:numPr>
          <w:ilvl w:val="0"/>
          <w:numId w:val="5"/>
        </w:numPr>
      </w:pPr>
      <w:r>
        <w:t>How corpora suck in terms of XML. TERN problematic particularly because it’s SGML, so XML parser sometimes struggles. Others have S, LEX, etc., tags, mixed in with TimeML, which makes no sense… Would be good for TimeML to define a namespace so it can be sensibly used in other XML documents</w:t>
      </w:r>
    </w:p>
    <w:p w:rsidR="003F7D46" w:rsidRDefault="003F7D46" w:rsidP="003F7D46">
      <w:pPr>
        <w:pStyle w:val="Heading2"/>
      </w:pPr>
      <w:bookmarkStart w:id="98" w:name="_Toc270614697"/>
      <w:r>
        <w:t>System Performance</w:t>
      </w:r>
      <w:bookmarkEnd w:id="98"/>
    </w:p>
    <w:p w:rsidR="003F7D46" w:rsidRDefault="003F7D46" w:rsidP="003F7D46">
      <w:pPr>
        <w:pStyle w:val="Heading3"/>
      </w:pPr>
      <w:r>
        <w:t>Annotation Performance</w:t>
      </w:r>
    </w:p>
    <w:p w:rsidR="003F7D46" w:rsidRDefault="003F7D46" w:rsidP="003F7D46">
      <w:r>
        <w:t>…</w:t>
      </w:r>
    </w:p>
    <w:p w:rsidR="003F7D46" w:rsidRDefault="003F7D46" w:rsidP="003F7D46">
      <w:pPr>
        <w:pStyle w:val="Heading3"/>
      </w:pPr>
      <w:r>
        <w:t>Speed and Throughput</w:t>
      </w:r>
      <w:r w:rsidRPr="003F7D46">
        <w:t xml:space="preserve"> </w:t>
      </w:r>
    </w:p>
    <w:p w:rsidR="003F7D46" w:rsidRDefault="003F7D46" w:rsidP="003F7D46">
      <w:pPr>
        <w:pStyle w:val="ListParagraph"/>
        <w:numPr>
          <w:ilvl w:val="0"/>
          <w:numId w:val="5"/>
        </w:numPr>
      </w:pPr>
      <w:r>
        <w:t>Overhead of script vs. API, etc. – more likely NLTK</w:t>
      </w:r>
    </w:p>
    <w:p w:rsidR="003F7D46" w:rsidRPr="003F7D46" w:rsidRDefault="003F7D46" w:rsidP="003F7D46">
      <w:pPr>
        <w:pStyle w:val="Heading2"/>
      </w:pPr>
      <w:bookmarkStart w:id="99" w:name="_Toc270614698"/>
      <w:r>
        <w:t>Future Work</w:t>
      </w:r>
      <w:bookmarkEnd w:id="99"/>
    </w:p>
    <w:p w:rsidR="001E3E3B" w:rsidRDefault="007B17BA" w:rsidP="003F7D46">
      <w:pPr>
        <w:pStyle w:val="ListParagraph"/>
        <w:numPr>
          <w:ilvl w:val="0"/>
          <w:numId w:val="5"/>
        </w:numPr>
      </w:pPr>
      <w:r>
        <w:t>Recognition engine could be easily changed to be an event recogniser using rules</w:t>
      </w:r>
    </w:p>
    <w:p w:rsidR="003F7D46" w:rsidRDefault="003F7D46" w:rsidP="003F7D46">
      <w:pPr>
        <w:pStyle w:val="ListParagraph"/>
        <w:numPr>
          <w:ilvl w:val="0"/>
          <w:numId w:val="5"/>
        </w:numPr>
      </w:pPr>
      <w:r>
        <w:t xml:space="preserve">More recognition components (e.g., machine learning, </w:t>
      </w:r>
      <w:proofErr w:type="spellStart"/>
      <w:r>
        <w:t>etc</w:t>
      </w:r>
      <w:proofErr w:type="spellEnd"/>
      <w:r>
        <w:t>)</w:t>
      </w:r>
    </w:p>
    <w:p w:rsidR="003F7D46" w:rsidRDefault="003F7D46" w:rsidP="003F7D46">
      <w:pPr>
        <w:pStyle w:val="Heading2"/>
      </w:pPr>
      <w:bookmarkStart w:id="100" w:name="_Toc270614699"/>
      <w:r>
        <w:t>Conclusions</w:t>
      </w:r>
      <w:bookmarkEnd w:id="100"/>
    </w:p>
    <w:p w:rsidR="003F7D46" w:rsidRPr="003F7D46" w:rsidRDefault="003F7D46" w:rsidP="003F7D46">
      <w:r>
        <w:t>…</w:t>
      </w:r>
    </w:p>
    <w:p w:rsidR="007B17BA" w:rsidRDefault="007B17BA" w:rsidP="001E3E3B">
      <w:pPr>
        <w:sectPr w:rsidR="007B17BA" w:rsidSect="00060A84">
          <w:headerReference w:type="default" r:id="rId29"/>
          <w:pgSz w:w="11907" w:h="16840" w:code="9"/>
          <w:pgMar w:top="1134" w:right="1418" w:bottom="1701" w:left="2098" w:header="709" w:footer="709" w:gutter="0"/>
          <w:cols w:space="708"/>
          <w:titlePg/>
          <w:docGrid w:linePitch="360"/>
        </w:sectPr>
      </w:pPr>
    </w:p>
    <w:bookmarkStart w:id="101" w:name="_Toc270614700" w:displacedByCustomXml="next"/>
    <w:bookmarkStart w:id="102" w:name="_Ref270598289" w:displacedByCustomXml="next"/>
    <w:bookmarkStart w:id="103" w:name="_Ref270598284" w:displacedByCustomXml="next"/>
    <w:sdt>
      <w:sdtPr>
        <w:rPr>
          <w:smallCaps w:val="0"/>
          <w:spacing w:val="0"/>
          <w:sz w:val="24"/>
          <w:szCs w:val="20"/>
        </w:rPr>
        <w:id w:val="494819507"/>
        <w:docPartObj>
          <w:docPartGallery w:val="Bibliographies"/>
          <w:docPartUnique/>
        </w:docPartObj>
      </w:sdtPr>
      <w:sdtContent>
        <w:bookmarkStart w:id="104" w:name="_Toc261719408" w:displacedByCustomXml="prev"/>
        <w:bookmarkStart w:id="105" w:name="_Toc261719354" w:displacedByCustomXml="prev"/>
        <w:bookmarkStart w:id="106" w:name="_Toc261719277" w:displacedByCustomXml="prev"/>
        <w:p w:rsidR="00AA1B5D" w:rsidRDefault="00AA1B5D">
          <w:pPr>
            <w:pStyle w:val="Heading1"/>
          </w:pPr>
          <w:r>
            <w:t>Bibliography</w:t>
          </w:r>
          <w:bookmarkEnd w:id="103"/>
          <w:bookmarkEnd w:id="102"/>
          <w:bookmarkEnd w:id="101"/>
          <w:bookmarkEnd w:id="106"/>
          <w:bookmarkEnd w:id="105"/>
          <w:bookmarkEnd w:id="104"/>
        </w:p>
        <w:sdt>
          <w:sdtPr>
            <w:id w:val="111145805"/>
            <w:bibliography/>
          </w:sdtPr>
          <w:sdtContent>
            <w:p w:rsidR="00B1472A" w:rsidRDefault="00B225E2" w:rsidP="00B1472A">
              <w:pPr>
                <w:pStyle w:val="Bibliography"/>
                <w:ind w:left="720" w:hanging="720"/>
                <w:rPr>
                  <w:noProof/>
                </w:rPr>
              </w:pPr>
              <w:r>
                <w:fldChar w:fldCharType="begin"/>
              </w:r>
              <w:r w:rsidR="00AA1B5D">
                <w:instrText xml:space="preserve"> BIBLIOGRAPHY </w:instrText>
              </w:r>
              <w:r>
                <w:fldChar w:fldCharType="separate"/>
              </w:r>
              <w:r w:rsidR="00B1472A">
                <w:rPr>
                  <w:noProof/>
                </w:rPr>
                <w:t xml:space="preserve">Ahn, D., Adafre, S. F., &amp; de Rijke, M. (2005). Recognizing and Interpreting Temporal Expressions in Open Domain Texts. In S. N. Artëmov, H. Barringer, A. S. d'Avila Garcez, L. C. Lamb, &amp; J. Woods (Eds.), </w:t>
              </w:r>
              <w:r w:rsidR="00B1472A">
                <w:rPr>
                  <w:i/>
                  <w:iCs/>
                  <w:noProof/>
                </w:rPr>
                <w:t>We Will Show Them: Essays in Honour of Dov Gabbay</w:t>
              </w:r>
              <w:r w:rsidR="00B1472A">
                <w:rPr>
                  <w:noProof/>
                </w:rPr>
                <w:t xml:space="preserve"> (Vol. 1, pp. 31-50). College Publications.</w:t>
              </w:r>
            </w:p>
            <w:p w:rsidR="00B1472A" w:rsidRDefault="00B1472A" w:rsidP="00B1472A">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B1472A" w:rsidRDefault="00B1472A" w:rsidP="00B1472A">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B1472A" w:rsidRDefault="00B1472A" w:rsidP="00B1472A">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B1472A" w:rsidRDefault="00B1472A" w:rsidP="00B1472A">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B1472A" w:rsidRDefault="00B1472A" w:rsidP="00B1472A">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B1472A" w:rsidRDefault="00B1472A" w:rsidP="00B1472A">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B1472A" w:rsidRDefault="00B1472A" w:rsidP="00B1472A">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B1472A" w:rsidRDefault="00B1472A" w:rsidP="00B1472A">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B1472A" w:rsidRDefault="00B1472A" w:rsidP="00B1472A">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B1472A" w:rsidRDefault="00B1472A" w:rsidP="00B1472A">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B1472A" w:rsidRDefault="00B1472A" w:rsidP="00B1472A">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B1472A" w:rsidRDefault="00B1472A" w:rsidP="00B1472A">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B1472A" w:rsidRDefault="00B1472A" w:rsidP="00B1472A">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B1472A" w:rsidRDefault="00B1472A" w:rsidP="00B1472A">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B1472A" w:rsidRDefault="00B1472A" w:rsidP="00B1472A">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B1472A" w:rsidRDefault="00B1472A" w:rsidP="00B1472A">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B1472A" w:rsidRDefault="00B1472A" w:rsidP="00B1472A">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B1472A" w:rsidRDefault="00B1472A" w:rsidP="00B1472A">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B1472A" w:rsidRDefault="00B1472A" w:rsidP="00B1472A">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B1472A" w:rsidRDefault="00B1472A" w:rsidP="00B1472A">
              <w:pPr>
                <w:pStyle w:val="Bibliography"/>
                <w:ind w:left="720" w:hanging="720"/>
                <w:rPr>
                  <w:noProof/>
                </w:rPr>
              </w:pPr>
              <w:r>
                <w:rPr>
                  <w:noProof/>
                </w:rPr>
                <w:t>Pustejovsky, J., Verhagen, M., Sauri, R., Littman, J., Gaizauskas, R., Katz, G., et al. (2006, April 17). TimeBank 1.2. Philadelphia: Linguistic Data Consortium.</w:t>
              </w:r>
            </w:p>
            <w:p w:rsidR="00B1472A" w:rsidRDefault="00B1472A" w:rsidP="00B1472A">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B1472A" w:rsidRDefault="00B1472A" w:rsidP="00B1472A">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B1472A" w:rsidRDefault="00B1472A" w:rsidP="00B1472A">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B1472A" w:rsidRDefault="00B1472A" w:rsidP="00B1472A">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B1472A" w:rsidRDefault="00B1472A" w:rsidP="00B1472A">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B1472A" w:rsidRDefault="00B1472A" w:rsidP="00B1472A">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B1472A" w:rsidRDefault="00B1472A" w:rsidP="00B1472A">
              <w:pPr>
                <w:pStyle w:val="Bibliography"/>
                <w:ind w:left="720" w:hanging="720"/>
                <w:rPr>
                  <w:noProof/>
                </w:rPr>
              </w:pPr>
              <w:r>
                <w:rPr>
                  <w:noProof/>
                </w:rPr>
                <w:t>Verhagen, M., &amp; Moszkowicz, J. (2008, January). AQUAINT TimeML 1.0 Corpus. Brandeis University.</w:t>
              </w:r>
            </w:p>
            <w:p w:rsidR="00B1472A" w:rsidRDefault="00B1472A" w:rsidP="00B1472A">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B1472A">
              <w:r>
                <w:fldChar w:fldCharType="end"/>
              </w:r>
            </w:p>
          </w:sdtContent>
        </w:sdt>
      </w:sdtContent>
    </w:sdt>
    <w:p w:rsidR="00AA1B5D" w:rsidRPr="00AA1B5D" w:rsidRDefault="00AA1B5D" w:rsidP="00AA1B5D">
      <w:pPr>
        <w:rPr>
          <w:lang w:eastAsia="zh-TW"/>
        </w:rPr>
      </w:pPr>
    </w:p>
    <w:sectPr w:rsidR="00AA1B5D" w:rsidRPr="00AA1B5D" w:rsidSect="003536C1">
      <w:headerReference w:type="default" r:id="rId30"/>
      <w:pgSz w:w="11907" w:h="16840" w:code="9"/>
      <w:pgMar w:top="1134" w:right="1418" w:bottom="1134" w:left="209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140" w:rsidRDefault="00F06140" w:rsidP="008873C3">
      <w:pPr>
        <w:spacing w:after="0" w:line="240" w:lineRule="auto"/>
      </w:pPr>
      <w:r>
        <w:separator/>
      </w:r>
    </w:p>
    <w:p w:rsidR="00F06140" w:rsidRDefault="00F06140"/>
  </w:endnote>
  <w:endnote w:type="continuationSeparator" w:id="0">
    <w:p w:rsidR="00F06140" w:rsidRDefault="00F06140" w:rsidP="008873C3">
      <w:pPr>
        <w:spacing w:after="0" w:line="240" w:lineRule="auto"/>
      </w:pPr>
      <w:r>
        <w:continuationSeparator/>
      </w:r>
    </w:p>
    <w:p w:rsidR="00F06140" w:rsidRDefault="00F061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23647"/>
      <w:docPartObj>
        <w:docPartGallery w:val="Page Numbers (Bottom of Page)"/>
        <w:docPartUnique/>
      </w:docPartObj>
    </w:sdtPr>
    <w:sdtContent>
      <w:p w:rsidR="00B1472A" w:rsidRDefault="00B1472A" w:rsidP="00D26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B1472A" w:rsidRDefault="00B1472A">
        <w:pPr>
          <w:pStyle w:val="Footer"/>
          <w:jc w:val="center"/>
        </w:pPr>
      </w:p>
    </w:sdtContent>
  </w:sdt>
  <w:p w:rsidR="00B1472A" w:rsidRDefault="00B147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2A" w:rsidRDefault="00B1472A" w:rsidP="00D26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B1472A" w:rsidRDefault="00B1472A" w:rsidP="000E557A">
        <w:pPr>
          <w:pStyle w:val="Footer"/>
          <w:jc w:val="center"/>
        </w:pPr>
        <w:r>
          <w:fldChar w:fldCharType="begin"/>
        </w:r>
        <w:r>
          <w:instrText xml:space="preserve"> PAGE   \* MERGEFORMAT </w:instrText>
        </w:r>
        <w:r>
          <w:fldChar w:fldCharType="separate"/>
        </w:r>
        <w:r w:rsidR="00A75520">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91737"/>
      <w:docPartObj>
        <w:docPartGallery w:val="Page Numbers (Bottom of Page)"/>
        <w:docPartUnique/>
      </w:docPartObj>
    </w:sdtPr>
    <w:sdtContent>
      <w:p w:rsidR="00B1472A" w:rsidRDefault="00B1472A" w:rsidP="00D26777">
        <w:pPr>
          <w:pStyle w:val="Footer"/>
          <w:jc w:val="center"/>
        </w:pPr>
        <w:r>
          <w:fldChar w:fldCharType="begin"/>
        </w:r>
        <w:r>
          <w:instrText xml:space="preserve"> PAGE   \* MERGEFORMAT </w:instrText>
        </w:r>
        <w:r>
          <w:fldChar w:fldCharType="separate"/>
        </w:r>
        <w:r w:rsidR="00A75520">
          <w:rPr>
            <w:noProof/>
          </w:rPr>
          <w:t>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B1472A" w:rsidRDefault="00B1472A"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B1472A" w:rsidRDefault="00B1472A" w:rsidP="000E557A">
        <w:pPr>
          <w:pStyle w:val="Footer"/>
          <w:jc w:val="center"/>
        </w:pPr>
        <w:r>
          <w:fldChar w:fldCharType="begin"/>
        </w:r>
        <w:r>
          <w:instrText xml:space="preserve"> PAGE   \* MERGEFORMAT </w:instrText>
        </w:r>
        <w:r>
          <w:fldChar w:fldCharType="separate"/>
        </w:r>
        <w:r w:rsidR="00A75520">
          <w:rPr>
            <w:noProof/>
          </w:rPr>
          <w:t>3</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B1472A" w:rsidRDefault="00B1472A">
        <w:pPr>
          <w:pStyle w:val="Footer"/>
          <w:jc w:val="center"/>
        </w:pPr>
        <w:r>
          <w:fldChar w:fldCharType="begin"/>
        </w:r>
        <w:r>
          <w:instrText xml:space="preserve"> PAGE   \* MERGEFORMAT </w:instrText>
        </w:r>
        <w:r>
          <w:fldChar w:fldCharType="separate"/>
        </w:r>
        <w:r w:rsidR="00A75520">
          <w:rPr>
            <w:noProof/>
          </w:rPr>
          <w:t>1</w:t>
        </w:r>
        <w:r>
          <w:rPr>
            <w:noProof/>
          </w:rPr>
          <w:fldChar w:fldCharType="end"/>
        </w:r>
      </w:p>
    </w:sdtContent>
  </w:sdt>
  <w:p w:rsidR="00B1472A" w:rsidRDefault="00B1472A">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B1472A" w:rsidRDefault="00B1472A" w:rsidP="000E557A">
        <w:pPr>
          <w:pStyle w:val="Footer"/>
          <w:jc w:val="center"/>
        </w:pPr>
        <w:r>
          <w:fldChar w:fldCharType="begin"/>
        </w:r>
        <w:r>
          <w:instrText xml:space="preserve"> PAGE   \* MERGEFORMAT </w:instrText>
        </w:r>
        <w:r>
          <w:fldChar w:fldCharType="separate"/>
        </w:r>
        <w:r w:rsidR="00A75520">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140" w:rsidRDefault="00F06140" w:rsidP="008873C3">
      <w:pPr>
        <w:spacing w:after="0" w:line="240" w:lineRule="auto"/>
      </w:pPr>
      <w:r>
        <w:separator/>
      </w:r>
    </w:p>
    <w:p w:rsidR="00F06140" w:rsidRDefault="00F06140"/>
  </w:footnote>
  <w:footnote w:type="continuationSeparator" w:id="0">
    <w:p w:rsidR="00F06140" w:rsidRDefault="00F06140" w:rsidP="008873C3">
      <w:pPr>
        <w:spacing w:after="0" w:line="240" w:lineRule="auto"/>
      </w:pPr>
      <w:r>
        <w:continuationSeparator/>
      </w:r>
    </w:p>
    <w:p w:rsidR="00F06140" w:rsidRDefault="00F061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2A" w:rsidRDefault="00B1472A">
    <w:pPr>
      <w:pStyle w:val="Header"/>
    </w:pPr>
    <w:sdt>
      <w:sdtPr>
        <w:rPr>
          <w:rStyle w:val="BookTitle"/>
        </w:rPr>
        <w:alias w:val="Title"/>
        <w:id w:val="152528382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2A" w:rsidRPr="00243A3B" w:rsidRDefault="00B1472A" w:rsidP="00314655">
    <w:pPr>
      <w:jc w:val="right"/>
      <w:rPr>
        <w:rStyle w:val="BookTitle"/>
      </w:rPr>
    </w:pPr>
    <w:r>
      <w:rPr>
        <w:rStyle w:val="BookTitle"/>
      </w:rPr>
      <w:fldChar w:fldCharType="begin"/>
    </w:r>
    <w:r>
      <w:rPr>
        <w:rStyle w:val="BookTitle"/>
      </w:rPr>
      <w:instrText xml:space="preserve"> REF _Ref270598289 \r \h </w:instrText>
    </w:r>
    <w:r>
      <w:rPr>
        <w:rStyle w:val="BookTitle"/>
      </w:rPr>
    </w:r>
    <w:r>
      <w:rPr>
        <w:rStyle w:val="BookTitle"/>
      </w:rPr>
      <w:fldChar w:fldCharType="separate"/>
    </w:r>
    <w:r>
      <w:rPr>
        <w:rStyle w:val="BookTitle"/>
      </w:rPr>
      <w:t>7</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_Ref270598284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Bibliography</w:t>
    </w:r>
    <w:r w:rsidRPr="00243A3B">
      <w:rPr>
        <w:rStyle w:val="BookTit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2A" w:rsidRDefault="00B1472A"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2A" w:rsidRDefault="00B1472A"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2A" w:rsidRPr="00243A3B" w:rsidRDefault="00B1472A" w:rsidP="00D26777">
    <w:pPr>
      <w:pStyle w:val="Header"/>
      <w:jc w:val="right"/>
      <w:rPr>
        <w:rStyle w:val="BookTitle"/>
      </w:rPr>
    </w:pPr>
    <w:r>
      <w:rPr>
        <w:rStyle w:val="BookTitle"/>
      </w:rPr>
      <w:fldChar w:fldCharType="begin"/>
    </w:r>
    <w:r>
      <w:rPr>
        <w:rStyle w:val="BookTitle"/>
      </w:rPr>
      <w:instrText xml:space="preserve"> REF _Ref270598179 \r \h </w:instrText>
    </w:r>
    <w:r>
      <w:rPr>
        <w:rStyle w:val="BookTitle"/>
      </w:rPr>
    </w:r>
    <w:r>
      <w:rPr>
        <w:rStyle w:val="BookTitle"/>
      </w:rPr>
      <w:fldChar w:fldCharType="separate"/>
    </w:r>
    <w:r>
      <w:rPr>
        <w:rStyle w:val="BookTitle"/>
      </w:rPr>
      <w:t>1</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_Ref270597966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Introduction</w:t>
    </w:r>
    <w:r w:rsidRPr="00243A3B">
      <w:rPr>
        <w:rStyle w:val="BookTitl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2A" w:rsidRPr="00243A3B" w:rsidRDefault="00B1472A" w:rsidP="00314655">
    <w:pPr>
      <w:jc w:val="right"/>
      <w:rPr>
        <w:rStyle w:val="BookTitle"/>
      </w:rPr>
    </w:pPr>
    <w:r>
      <w:rPr>
        <w:rStyle w:val="BookTitle"/>
      </w:rPr>
      <w:fldChar w:fldCharType="begin"/>
    </w:r>
    <w:r>
      <w:rPr>
        <w:rStyle w:val="BookTitle"/>
      </w:rPr>
      <w:instrText xml:space="preserve"> REF _Ref248750473 \r \h </w:instrText>
    </w:r>
    <w:r>
      <w:rPr>
        <w:rStyle w:val="BookTitle"/>
      </w:rPr>
    </w:r>
    <w:r>
      <w:rPr>
        <w:rStyle w:val="BookTitle"/>
      </w:rPr>
      <w:fldChar w:fldCharType="separate"/>
    </w:r>
    <w:r>
      <w:rPr>
        <w:rStyle w:val="BookTitle"/>
      </w:rPr>
      <w:t>2</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_Ref248750473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Background</w:t>
    </w:r>
    <w:r w:rsidRPr="00243A3B">
      <w:rPr>
        <w:rStyle w:val="BookTitle"/>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2A" w:rsidRPr="00243A3B" w:rsidRDefault="00B1472A" w:rsidP="00314655">
    <w:pPr>
      <w:jc w:val="right"/>
      <w:rPr>
        <w:rStyle w:val="BookTitle"/>
      </w:rPr>
    </w:pPr>
    <w:r>
      <w:rPr>
        <w:rStyle w:val="BookTitle"/>
      </w:rPr>
      <w:fldChar w:fldCharType="begin"/>
    </w:r>
    <w:r>
      <w:rPr>
        <w:rStyle w:val="BookTitle"/>
      </w:rPr>
      <w:instrText xml:space="preserve"> REF _Ref270598204 \r \h </w:instrText>
    </w:r>
    <w:r>
      <w:rPr>
        <w:rStyle w:val="BookTitle"/>
      </w:rPr>
    </w:r>
    <w:r>
      <w:rPr>
        <w:rStyle w:val="BookTitle"/>
      </w:rPr>
      <w:fldChar w:fldCharType="separate"/>
    </w:r>
    <w:r>
      <w:rPr>
        <w:rStyle w:val="BookTitle"/>
      </w:rPr>
      <w:t>3</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_Ref270598103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Problem Analysis</w:t>
    </w:r>
    <w:r w:rsidRPr="00243A3B">
      <w:rPr>
        <w:rStyle w:val="BookTit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2A" w:rsidRPr="00243A3B" w:rsidRDefault="00B1472A" w:rsidP="00314655">
    <w:pPr>
      <w:jc w:val="right"/>
      <w:rPr>
        <w:rStyle w:val="BookTitle"/>
      </w:rPr>
    </w:pPr>
    <w:r>
      <w:rPr>
        <w:rStyle w:val="BookTitle"/>
      </w:rPr>
      <w:fldChar w:fldCharType="begin"/>
    </w:r>
    <w:r>
      <w:rPr>
        <w:rStyle w:val="BookTitle"/>
      </w:rPr>
      <w:instrText xml:space="preserve"> REF _Ref270598222 \r \h </w:instrText>
    </w:r>
    <w:r>
      <w:rPr>
        <w:rStyle w:val="BookTitle"/>
      </w:rPr>
    </w:r>
    <w:r>
      <w:rPr>
        <w:rStyle w:val="BookTitle"/>
      </w:rPr>
      <w:fldChar w:fldCharType="separate"/>
    </w:r>
    <w:r>
      <w:rPr>
        <w:rStyle w:val="BookTitle"/>
      </w:rPr>
      <w:t>4</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_Ref270598129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System</w:t>
    </w:r>
    <w:r w:rsidRPr="00243A3B">
      <w:rPr>
        <w:rStyle w:val="BookTitle"/>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2A" w:rsidRPr="00243A3B" w:rsidRDefault="00B1472A" w:rsidP="00314655">
    <w:pPr>
      <w:jc w:val="right"/>
      <w:rPr>
        <w:rStyle w:val="BookTitle"/>
      </w:rPr>
    </w:pPr>
    <w:r>
      <w:rPr>
        <w:rStyle w:val="BookTitle"/>
      </w:rPr>
      <w:fldChar w:fldCharType="begin"/>
    </w:r>
    <w:r>
      <w:rPr>
        <w:rStyle w:val="BookTitle"/>
      </w:rPr>
      <w:instrText xml:space="preserve"> REF _Ref270176962 \r \h </w:instrText>
    </w:r>
    <w:r>
      <w:rPr>
        <w:rStyle w:val="BookTitle"/>
      </w:rPr>
    </w:r>
    <w:r>
      <w:rPr>
        <w:rStyle w:val="BookTitle"/>
      </w:rPr>
      <w:fldChar w:fldCharType="separate"/>
    </w:r>
    <w:r>
      <w:rPr>
        <w:rStyle w:val="BookTitle"/>
      </w:rPr>
      <w:t>5</w:t>
    </w:r>
    <w:r>
      <w:rPr>
        <w:rStyle w:val="BookTitle"/>
      </w:rPr>
      <w:fldChar w:fldCharType="end"/>
    </w:r>
    <w:r>
      <w:rPr>
        <w:rStyle w:val="BookTitle"/>
      </w:rPr>
      <w:t>.</w:t>
    </w:r>
    <w:r w:rsidRPr="00243A3B">
      <w:rPr>
        <w:rStyle w:val="BookTitle"/>
      </w:rPr>
      <w:t xml:space="preserve"> </w:t>
    </w:r>
    <w:r w:rsidRPr="00243A3B">
      <w:rPr>
        <w:rStyle w:val="BookTitle"/>
      </w:rPr>
      <w:fldChar w:fldCharType="begin"/>
    </w:r>
    <w:r w:rsidRPr="00243A3B">
      <w:rPr>
        <w:rStyle w:val="BookTitle"/>
      </w:rPr>
      <w:instrText xml:space="preserve"> REF _Ref270176962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Evaluation</w:t>
    </w:r>
    <w:r w:rsidRPr="00243A3B">
      <w:rPr>
        <w:rStyle w:val="BookTitle"/>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2A" w:rsidRPr="00060A84" w:rsidRDefault="00B1472A" w:rsidP="00314655">
    <w:pPr>
      <w:jc w:val="right"/>
      <w:rPr>
        <w:rStyle w:val="BookTitle"/>
      </w:rPr>
    </w:pPr>
    <w:r w:rsidRPr="00060A84">
      <w:rPr>
        <w:rStyle w:val="BookTitle"/>
      </w:rPr>
      <w:fldChar w:fldCharType="begin"/>
    </w:r>
    <w:r w:rsidRPr="00060A84">
      <w:rPr>
        <w:rStyle w:val="BookTitle"/>
      </w:rPr>
      <w:instrText xml:space="preserve"> REF _Ref270432977 \r \h </w:instrText>
    </w:r>
    <w:r>
      <w:rPr>
        <w:rStyle w:val="BookTitle"/>
      </w:rPr>
      <w:instrText xml:space="preserve"> \* MERGEFORMAT </w:instrText>
    </w:r>
    <w:r w:rsidRPr="00060A84">
      <w:rPr>
        <w:rStyle w:val="BookTitle"/>
      </w:rPr>
    </w:r>
    <w:r w:rsidRPr="00060A84">
      <w:rPr>
        <w:rStyle w:val="BookTitle"/>
      </w:rPr>
      <w:fldChar w:fldCharType="separate"/>
    </w:r>
    <w:r w:rsidRPr="00060A84">
      <w:rPr>
        <w:rStyle w:val="BookTitle"/>
      </w:rPr>
      <w:t>6</w:t>
    </w:r>
    <w:r w:rsidRPr="00060A84">
      <w:rPr>
        <w:rStyle w:val="BookTitle"/>
      </w:rPr>
      <w:fldChar w:fldCharType="end"/>
    </w:r>
    <w:r w:rsidRPr="00060A84">
      <w:rPr>
        <w:rStyle w:val="BookTitle"/>
      </w:rPr>
      <w:t xml:space="preserve">. </w:t>
    </w:r>
    <w:r w:rsidRPr="00060A84">
      <w:rPr>
        <w:rStyle w:val="BookTitle"/>
      </w:rPr>
      <w:fldChar w:fldCharType="begin"/>
    </w:r>
    <w:r w:rsidRPr="00060A84">
      <w:rPr>
        <w:rStyle w:val="BookTitle"/>
      </w:rPr>
      <w:instrText xml:space="preserve"> REF _Ref270432977 \h </w:instrText>
    </w:r>
    <w:r>
      <w:rPr>
        <w:rStyle w:val="BookTitle"/>
      </w:rPr>
      <w:instrText xml:space="preserve"> \* MERGEFORMAT </w:instrText>
    </w:r>
    <w:r w:rsidRPr="00060A84">
      <w:rPr>
        <w:rStyle w:val="BookTitle"/>
      </w:rPr>
    </w:r>
    <w:r w:rsidRPr="00060A84">
      <w:rPr>
        <w:rStyle w:val="BookTitle"/>
      </w:rPr>
      <w:fldChar w:fldCharType="separate"/>
    </w:r>
    <w:r w:rsidRPr="00060A84">
      <w:rPr>
        <w:rStyle w:val="BookTitle"/>
      </w:rPr>
      <w:t>Discussion</w:t>
    </w:r>
    <w:r w:rsidRPr="00060A84">
      <w:rPr>
        <w:rStyle w:val="BookTit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D541E4"/>
    <w:multiLevelType w:val="hybridMultilevel"/>
    <w:tmpl w:val="3EF46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1B5398"/>
    <w:multiLevelType w:val="hybridMultilevel"/>
    <w:tmpl w:val="7484855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C36393"/>
    <w:multiLevelType w:val="hybridMultilevel"/>
    <w:tmpl w:val="AF9EB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8">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nsid w:val="6C9551AA"/>
    <w:multiLevelType w:val="hybridMultilevel"/>
    <w:tmpl w:val="D9BEF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10"/>
  </w:num>
  <w:num w:numId="5">
    <w:abstractNumId w:val="3"/>
  </w:num>
  <w:num w:numId="6">
    <w:abstractNumId w:val="5"/>
  </w:num>
  <w:num w:numId="7">
    <w:abstractNumId w:val="1"/>
  </w:num>
  <w:num w:numId="8">
    <w:abstractNumId w:val="0"/>
  </w:num>
  <w:num w:numId="9">
    <w:abstractNumId w:val="9"/>
  </w:num>
  <w:num w:numId="10">
    <w:abstractNumId w:val="6"/>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31A29"/>
    <w:rsid w:val="00031D16"/>
    <w:rsid w:val="0003273E"/>
    <w:rsid w:val="000354D1"/>
    <w:rsid w:val="00035856"/>
    <w:rsid w:val="0004313E"/>
    <w:rsid w:val="000468C6"/>
    <w:rsid w:val="0004720A"/>
    <w:rsid w:val="00047827"/>
    <w:rsid w:val="00050E2C"/>
    <w:rsid w:val="00051191"/>
    <w:rsid w:val="000527E3"/>
    <w:rsid w:val="00053D91"/>
    <w:rsid w:val="0005423D"/>
    <w:rsid w:val="00056F4B"/>
    <w:rsid w:val="00060A84"/>
    <w:rsid w:val="0006447F"/>
    <w:rsid w:val="00064F31"/>
    <w:rsid w:val="00067829"/>
    <w:rsid w:val="00070A98"/>
    <w:rsid w:val="00071458"/>
    <w:rsid w:val="00071FBA"/>
    <w:rsid w:val="0007233D"/>
    <w:rsid w:val="00072614"/>
    <w:rsid w:val="00072F9B"/>
    <w:rsid w:val="000736C5"/>
    <w:rsid w:val="00076193"/>
    <w:rsid w:val="00076B91"/>
    <w:rsid w:val="000840FB"/>
    <w:rsid w:val="00085F93"/>
    <w:rsid w:val="000866E6"/>
    <w:rsid w:val="00086D0E"/>
    <w:rsid w:val="00090772"/>
    <w:rsid w:val="00090ADF"/>
    <w:rsid w:val="00090CEC"/>
    <w:rsid w:val="00092057"/>
    <w:rsid w:val="00093601"/>
    <w:rsid w:val="00095A9D"/>
    <w:rsid w:val="00095B16"/>
    <w:rsid w:val="000964DA"/>
    <w:rsid w:val="000973A5"/>
    <w:rsid w:val="000A06F3"/>
    <w:rsid w:val="000A17DF"/>
    <w:rsid w:val="000A36F4"/>
    <w:rsid w:val="000A5402"/>
    <w:rsid w:val="000A6020"/>
    <w:rsid w:val="000A6102"/>
    <w:rsid w:val="000A7E01"/>
    <w:rsid w:val="000B14EE"/>
    <w:rsid w:val="000B274F"/>
    <w:rsid w:val="000B2EB1"/>
    <w:rsid w:val="000B4A9A"/>
    <w:rsid w:val="000B543C"/>
    <w:rsid w:val="000B577E"/>
    <w:rsid w:val="000B621C"/>
    <w:rsid w:val="000C0FFF"/>
    <w:rsid w:val="000C1AC1"/>
    <w:rsid w:val="000C27E9"/>
    <w:rsid w:val="000C28E3"/>
    <w:rsid w:val="000C38A8"/>
    <w:rsid w:val="000C46E6"/>
    <w:rsid w:val="000C6588"/>
    <w:rsid w:val="000C68BF"/>
    <w:rsid w:val="000C7D30"/>
    <w:rsid w:val="000C7D70"/>
    <w:rsid w:val="000D03F7"/>
    <w:rsid w:val="000D0631"/>
    <w:rsid w:val="000D4874"/>
    <w:rsid w:val="000D5711"/>
    <w:rsid w:val="000D6316"/>
    <w:rsid w:val="000E0C63"/>
    <w:rsid w:val="000E1FCC"/>
    <w:rsid w:val="000E2441"/>
    <w:rsid w:val="000E2E88"/>
    <w:rsid w:val="000E34B0"/>
    <w:rsid w:val="000E3993"/>
    <w:rsid w:val="000E433A"/>
    <w:rsid w:val="000E4FDE"/>
    <w:rsid w:val="000E557A"/>
    <w:rsid w:val="000E6645"/>
    <w:rsid w:val="000E71F9"/>
    <w:rsid w:val="000E754E"/>
    <w:rsid w:val="000E759F"/>
    <w:rsid w:val="000F10B2"/>
    <w:rsid w:val="000F1837"/>
    <w:rsid w:val="000F604D"/>
    <w:rsid w:val="000F73F9"/>
    <w:rsid w:val="0010177C"/>
    <w:rsid w:val="00102634"/>
    <w:rsid w:val="001029AA"/>
    <w:rsid w:val="00105435"/>
    <w:rsid w:val="00105A58"/>
    <w:rsid w:val="00106951"/>
    <w:rsid w:val="00106B69"/>
    <w:rsid w:val="001136FE"/>
    <w:rsid w:val="00113733"/>
    <w:rsid w:val="00113B79"/>
    <w:rsid w:val="001144B5"/>
    <w:rsid w:val="00115FCA"/>
    <w:rsid w:val="00116544"/>
    <w:rsid w:val="00120475"/>
    <w:rsid w:val="00120671"/>
    <w:rsid w:val="001213E2"/>
    <w:rsid w:val="00121CF7"/>
    <w:rsid w:val="00122065"/>
    <w:rsid w:val="0012394D"/>
    <w:rsid w:val="00123BB1"/>
    <w:rsid w:val="00124DF5"/>
    <w:rsid w:val="00125BAD"/>
    <w:rsid w:val="00126FD2"/>
    <w:rsid w:val="00127325"/>
    <w:rsid w:val="0012786E"/>
    <w:rsid w:val="00130070"/>
    <w:rsid w:val="001317FF"/>
    <w:rsid w:val="0013250D"/>
    <w:rsid w:val="00132E7F"/>
    <w:rsid w:val="00132F55"/>
    <w:rsid w:val="00132FE1"/>
    <w:rsid w:val="001345BE"/>
    <w:rsid w:val="00134EDC"/>
    <w:rsid w:val="0013651A"/>
    <w:rsid w:val="00137003"/>
    <w:rsid w:val="00137093"/>
    <w:rsid w:val="001406A1"/>
    <w:rsid w:val="00143619"/>
    <w:rsid w:val="0014361B"/>
    <w:rsid w:val="00144FA8"/>
    <w:rsid w:val="00147C3C"/>
    <w:rsid w:val="00147ECD"/>
    <w:rsid w:val="00150798"/>
    <w:rsid w:val="001528E7"/>
    <w:rsid w:val="00153DC4"/>
    <w:rsid w:val="00153F79"/>
    <w:rsid w:val="00154963"/>
    <w:rsid w:val="00157CF5"/>
    <w:rsid w:val="001600D0"/>
    <w:rsid w:val="0016405A"/>
    <w:rsid w:val="001644BC"/>
    <w:rsid w:val="00170962"/>
    <w:rsid w:val="00171F81"/>
    <w:rsid w:val="00175014"/>
    <w:rsid w:val="00180958"/>
    <w:rsid w:val="00182D6C"/>
    <w:rsid w:val="00183030"/>
    <w:rsid w:val="00185A64"/>
    <w:rsid w:val="00187555"/>
    <w:rsid w:val="001907DB"/>
    <w:rsid w:val="00190C65"/>
    <w:rsid w:val="00192D41"/>
    <w:rsid w:val="001943DD"/>
    <w:rsid w:val="001947B0"/>
    <w:rsid w:val="00197EFC"/>
    <w:rsid w:val="001A2555"/>
    <w:rsid w:val="001A3726"/>
    <w:rsid w:val="001A4E34"/>
    <w:rsid w:val="001A51A7"/>
    <w:rsid w:val="001A5570"/>
    <w:rsid w:val="001A6585"/>
    <w:rsid w:val="001A6A9A"/>
    <w:rsid w:val="001A7366"/>
    <w:rsid w:val="001B2324"/>
    <w:rsid w:val="001B23A5"/>
    <w:rsid w:val="001B2DC9"/>
    <w:rsid w:val="001B38B2"/>
    <w:rsid w:val="001B422D"/>
    <w:rsid w:val="001B6539"/>
    <w:rsid w:val="001C1655"/>
    <w:rsid w:val="001C2150"/>
    <w:rsid w:val="001C25D0"/>
    <w:rsid w:val="001C4877"/>
    <w:rsid w:val="001C6944"/>
    <w:rsid w:val="001C7455"/>
    <w:rsid w:val="001D153C"/>
    <w:rsid w:val="001D25EF"/>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76A"/>
    <w:rsid w:val="001F796C"/>
    <w:rsid w:val="001F7E22"/>
    <w:rsid w:val="00200582"/>
    <w:rsid w:val="0020198A"/>
    <w:rsid w:val="00203B27"/>
    <w:rsid w:val="00203F4B"/>
    <w:rsid w:val="002052D2"/>
    <w:rsid w:val="00211782"/>
    <w:rsid w:val="00211E3B"/>
    <w:rsid w:val="0021424D"/>
    <w:rsid w:val="002154F5"/>
    <w:rsid w:val="0021620E"/>
    <w:rsid w:val="00216926"/>
    <w:rsid w:val="0021705B"/>
    <w:rsid w:val="002170DB"/>
    <w:rsid w:val="00220F26"/>
    <w:rsid w:val="002242B2"/>
    <w:rsid w:val="00224AEC"/>
    <w:rsid w:val="002257C5"/>
    <w:rsid w:val="00230037"/>
    <w:rsid w:val="002326AA"/>
    <w:rsid w:val="00233BF9"/>
    <w:rsid w:val="00234FAA"/>
    <w:rsid w:val="00235900"/>
    <w:rsid w:val="00235C28"/>
    <w:rsid w:val="00241DC7"/>
    <w:rsid w:val="002431DF"/>
    <w:rsid w:val="0024340D"/>
    <w:rsid w:val="00243A3B"/>
    <w:rsid w:val="002450EE"/>
    <w:rsid w:val="00246423"/>
    <w:rsid w:val="0024712F"/>
    <w:rsid w:val="00250886"/>
    <w:rsid w:val="002513FB"/>
    <w:rsid w:val="00253C60"/>
    <w:rsid w:val="0025529A"/>
    <w:rsid w:val="00256BB5"/>
    <w:rsid w:val="00262D1A"/>
    <w:rsid w:val="002653FD"/>
    <w:rsid w:val="00265F74"/>
    <w:rsid w:val="0027207E"/>
    <w:rsid w:val="002722ED"/>
    <w:rsid w:val="002833CF"/>
    <w:rsid w:val="0028408C"/>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989"/>
    <w:rsid w:val="002B2CEC"/>
    <w:rsid w:val="002B5AD1"/>
    <w:rsid w:val="002C155E"/>
    <w:rsid w:val="002C1653"/>
    <w:rsid w:val="002C20DE"/>
    <w:rsid w:val="002C5F4F"/>
    <w:rsid w:val="002C66E4"/>
    <w:rsid w:val="002C6E9B"/>
    <w:rsid w:val="002C736B"/>
    <w:rsid w:val="002C7AC9"/>
    <w:rsid w:val="002C7BF6"/>
    <w:rsid w:val="002C7C73"/>
    <w:rsid w:val="002D0ABA"/>
    <w:rsid w:val="002D5B5E"/>
    <w:rsid w:val="002D66B8"/>
    <w:rsid w:val="002D7A35"/>
    <w:rsid w:val="002D7B44"/>
    <w:rsid w:val="002E3237"/>
    <w:rsid w:val="002E3F95"/>
    <w:rsid w:val="002E6351"/>
    <w:rsid w:val="002E6AD9"/>
    <w:rsid w:val="002E6FFB"/>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31585"/>
    <w:rsid w:val="00342638"/>
    <w:rsid w:val="00342BA9"/>
    <w:rsid w:val="00343510"/>
    <w:rsid w:val="003478FB"/>
    <w:rsid w:val="0035182E"/>
    <w:rsid w:val="00352F01"/>
    <w:rsid w:val="003536C1"/>
    <w:rsid w:val="00353A05"/>
    <w:rsid w:val="003547F2"/>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5F2B"/>
    <w:rsid w:val="003A6991"/>
    <w:rsid w:val="003B00C5"/>
    <w:rsid w:val="003B0D91"/>
    <w:rsid w:val="003B0E5A"/>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3B2A"/>
    <w:rsid w:val="003D462F"/>
    <w:rsid w:val="003D6231"/>
    <w:rsid w:val="003D71EC"/>
    <w:rsid w:val="003D7405"/>
    <w:rsid w:val="003E1027"/>
    <w:rsid w:val="003E1130"/>
    <w:rsid w:val="003E3492"/>
    <w:rsid w:val="003E3A42"/>
    <w:rsid w:val="003E41A5"/>
    <w:rsid w:val="003E46CA"/>
    <w:rsid w:val="003E65ED"/>
    <w:rsid w:val="003F140C"/>
    <w:rsid w:val="003F183B"/>
    <w:rsid w:val="003F20E2"/>
    <w:rsid w:val="003F287A"/>
    <w:rsid w:val="003F312A"/>
    <w:rsid w:val="003F4BA5"/>
    <w:rsid w:val="003F5136"/>
    <w:rsid w:val="003F514E"/>
    <w:rsid w:val="003F5174"/>
    <w:rsid w:val="003F5640"/>
    <w:rsid w:val="003F7B62"/>
    <w:rsid w:val="003F7D46"/>
    <w:rsid w:val="00401F2F"/>
    <w:rsid w:val="00404F48"/>
    <w:rsid w:val="00407FF1"/>
    <w:rsid w:val="00410A93"/>
    <w:rsid w:val="00410C6A"/>
    <w:rsid w:val="004111DB"/>
    <w:rsid w:val="004142D0"/>
    <w:rsid w:val="00421061"/>
    <w:rsid w:val="00421223"/>
    <w:rsid w:val="00422437"/>
    <w:rsid w:val="004234C5"/>
    <w:rsid w:val="00425259"/>
    <w:rsid w:val="004353C7"/>
    <w:rsid w:val="004353FF"/>
    <w:rsid w:val="004368E0"/>
    <w:rsid w:val="00436C81"/>
    <w:rsid w:val="0043735A"/>
    <w:rsid w:val="00437490"/>
    <w:rsid w:val="00440529"/>
    <w:rsid w:val="00442842"/>
    <w:rsid w:val="004438BE"/>
    <w:rsid w:val="004448B3"/>
    <w:rsid w:val="00445947"/>
    <w:rsid w:val="0044685F"/>
    <w:rsid w:val="0044783C"/>
    <w:rsid w:val="00450288"/>
    <w:rsid w:val="00451E90"/>
    <w:rsid w:val="00453DF0"/>
    <w:rsid w:val="00454B84"/>
    <w:rsid w:val="00455330"/>
    <w:rsid w:val="004562D9"/>
    <w:rsid w:val="00456324"/>
    <w:rsid w:val="00456C1B"/>
    <w:rsid w:val="00457C58"/>
    <w:rsid w:val="0046386B"/>
    <w:rsid w:val="004737C6"/>
    <w:rsid w:val="00473D86"/>
    <w:rsid w:val="00473DBC"/>
    <w:rsid w:val="004761A3"/>
    <w:rsid w:val="00483C3A"/>
    <w:rsid w:val="00483D69"/>
    <w:rsid w:val="004852A0"/>
    <w:rsid w:val="00485EB2"/>
    <w:rsid w:val="00487A17"/>
    <w:rsid w:val="00487A30"/>
    <w:rsid w:val="004908B5"/>
    <w:rsid w:val="00490E57"/>
    <w:rsid w:val="004920A9"/>
    <w:rsid w:val="004922BD"/>
    <w:rsid w:val="00492E7B"/>
    <w:rsid w:val="004947B3"/>
    <w:rsid w:val="004A2B9C"/>
    <w:rsid w:val="004A4EC6"/>
    <w:rsid w:val="004A5B81"/>
    <w:rsid w:val="004A6077"/>
    <w:rsid w:val="004A6260"/>
    <w:rsid w:val="004A7B8E"/>
    <w:rsid w:val="004B14C2"/>
    <w:rsid w:val="004B4150"/>
    <w:rsid w:val="004B733A"/>
    <w:rsid w:val="004C0246"/>
    <w:rsid w:val="004C1094"/>
    <w:rsid w:val="004C2986"/>
    <w:rsid w:val="004C413E"/>
    <w:rsid w:val="004C5485"/>
    <w:rsid w:val="004C673E"/>
    <w:rsid w:val="004C6FE3"/>
    <w:rsid w:val="004C7489"/>
    <w:rsid w:val="004D14ED"/>
    <w:rsid w:val="004D438E"/>
    <w:rsid w:val="004D4AD7"/>
    <w:rsid w:val="004D4E2F"/>
    <w:rsid w:val="004D70EB"/>
    <w:rsid w:val="004D775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547"/>
    <w:rsid w:val="0050663B"/>
    <w:rsid w:val="00506647"/>
    <w:rsid w:val="00507240"/>
    <w:rsid w:val="0051071B"/>
    <w:rsid w:val="00511AF5"/>
    <w:rsid w:val="00512B1D"/>
    <w:rsid w:val="00512E0C"/>
    <w:rsid w:val="00513711"/>
    <w:rsid w:val="00513DD5"/>
    <w:rsid w:val="00514A07"/>
    <w:rsid w:val="00514C8C"/>
    <w:rsid w:val="00515242"/>
    <w:rsid w:val="005175C7"/>
    <w:rsid w:val="005230E7"/>
    <w:rsid w:val="0052446A"/>
    <w:rsid w:val="00526A28"/>
    <w:rsid w:val="00526E2F"/>
    <w:rsid w:val="005271C6"/>
    <w:rsid w:val="005272A4"/>
    <w:rsid w:val="00527465"/>
    <w:rsid w:val="005315AE"/>
    <w:rsid w:val="00532AE1"/>
    <w:rsid w:val="00533224"/>
    <w:rsid w:val="005354B2"/>
    <w:rsid w:val="005359F0"/>
    <w:rsid w:val="00537C31"/>
    <w:rsid w:val="00542760"/>
    <w:rsid w:val="00543F4A"/>
    <w:rsid w:val="00545463"/>
    <w:rsid w:val="00550590"/>
    <w:rsid w:val="00553108"/>
    <w:rsid w:val="005539B2"/>
    <w:rsid w:val="00556443"/>
    <w:rsid w:val="0055673B"/>
    <w:rsid w:val="00560EC5"/>
    <w:rsid w:val="00560F3A"/>
    <w:rsid w:val="00561D77"/>
    <w:rsid w:val="00564D99"/>
    <w:rsid w:val="00565FA4"/>
    <w:rsid w:val="00566632"/>
    <w:rsid w:val="005701A7"/>
    <w:rsid w:val="005703B6"/>
    <w:rsid w:val="005717E8"/>
    <w:rsid w:val="00572CD2"/>
    <w:rsid w:val="00573E24"/>
    <w:rsid w:val="005754E3"/>
    <w:rsid w:val="005800BB"/>
    <w:rsid w:val="00580328"/>
    <w:rsid w:val="00582116"/>
    <w:rsid w:val="005827C8"/>
    <w:rsid w:val="00584A94"/>
    <w:rsid w:val="00584C39"/>
    <w:rsid w:val="005850A5"/>
    <w:rsid w:val="0058736C"/>
    <w:rsid w:val="0059002F"/>
    <w:rsid w:val="005906C5"/>
    <w:rsid w:val="00591CBC"/>
    <w:rsid w:val="00592EC6"/>
    <w:rsid w:val="005941FA"/>
    <w:rsid w:val="0059428A"/>
    <w:rsid w:val="00594665"/>
    <w:rsid w:val="005947D2"/>
    <w:rsid w:val="005951A8"/>
    <w:rsid w:val="00595342"/>
    <w:rsid w:val="00595F54"/>
    <w:rsid w:val="00597112"/>
    <w:rsid w:val="005978EA"/>
    <w:rsid w:val="005A0E7D"/>
    <w:rsid w:val="005A2794"/>
    <w:rsid w:val="005A4EE7"/>
    <w:rsid w:val="005A6156"/>
    <w:rsid w:val="005A61C2"/>
    <w:rsid w:val="005A6E5F"/>
    <w:rsid w:val="005A731A"/>
    <w:rsid w:val="005B2356"/>
    <w:rsid w:val="005B24A7"/>
    <w:rsid w:val="005B2B93"/>
    <w:rsid w:val="005B4D07"/>
    <w:rsid w:val="005B5657"/>
    <w:rsid w:val="005B6309"/>
    <w:rsid w:val="005B6440"/>
    <w:rsid w:val="005B69AF"/>
    <w:rsid w:val="005C019B"/>
    <w:rsid w:val="005D0C65"/>
    <w:rsid w:val="005D2A19"/>
    <w:rsid w:val="005D2DE5"/>
    <w:rsid w:val="005D667D"/>
    <w:rsid w:val="005D737C"/>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289F"/>
    <w:rsid w:val="00612D64"/>
    <w:rsid w:val="0061544D"/>
    <w:rsid w:val="00615CDB"/>
    <w:rsid w:val="0062066A"/>
    <w:rsid w:val="00620D9A"/>
    <w:rsid w:val="0062194A"/>
    <w:rsid w:val="006243AC"/>
    <w:rsid w:val="006270E6"/>
    <w:rsid w:val="00627209"/>
    <w:rsid w:val="006300BC"/>
    <w:rsid w:val="00630C5C"/>
    <w:rsid w:val="00631102"/>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4E0B"/>
    <w:rsid w:val="00666F2D"/>
    <w:rsid w:val="00667403"/>
    <w:rsid w:val="0067190F"/>
    <w:rsid w:val="006728BD"/>
    <w:rsid w:val="006729BA"/>
    <w:rsid w:val="006736D4"/>
    <w:rsid w:val="00673A70"/>
    <w:rsid w:val="006744F8"/>
    <w:rsid w:val="00677B3E"/>
    <w:rsid w:val="00680B69"/>
    <w:rsid w:val="00680C29"/>
    <w:rsid w:val="00680C35"/>
    <w:rsid w:val="00681861"/>
    <w:rsid w:val="00685557"/>
    <w:rsid w:val="00692707"/>
    <w:rsid w:val="00693A82"/>
    <w:rsid w:val="00694003"/>
    <w:rsid w:val="006945D2"/>
    <w:rsid w:val="0069494A"/>
    <w:rsid w:val="00697C68"/>
    <w:rsid w:val="00697EBF"/>
    <w:rsid w:val="006A3B57"/>
    <w:rsid w:val="006A405E"/>
    <w:rsid w:val="006A41E9"/>
    <w:rsid w:val="006A6072"/>
    <w:rsid w:val="006A678E"/>
    <w:rsid w:val="006A7926"/>
    <w:rsid w:val="006B073B"/>
    <w:rsid w:val="006B0B8E"/>
    <w:rsid w:val="006B14C5"/>
    <w:rsid w:val="006B40EB"/>
    <w:rsid w:val="006B4893"/>
    <w:rsid w:val="006B6897"/>
    <w:rsid w:val="006B769F"/>
    <w:rsid w:val="006C035D"/>
    <w:rsid w:val="006C5425"/>
    <w:rsid w:val="006C5BE3"/>
    <w:rsid w:val="006C5E95"/>
    <w:rsid w:val="006C6566"/>
    <w:rsid w:val="006D1DC8"/>
    <w:rsid w:val="006D26EC"/>
    <w:rsid w:val="006D2D62"/>
    <w:rsid w:val="006D4465"/>
    <w:rsid w:val="006D44D6"/>
    <w:rsid w:val="006D5772"/>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3885"/>
    <w:rsid w:val="00724F4E"/>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5B4"/>
    <w:rsid w:val="00757E43"/>
    <w:rsid w:val="00760429"/>
    <w:rsid w:val="0076392D"/>
    <w:rsid w:val="0076473C"/>
    <w:rsid w:val="00764CE3"/>
    <w:rsid w:val="007654F9"/>
    <w:rsid w:val="007671AD"/>
    <w:rsid w:val="00767DE9"/>
    <w:rsid w:val="00772710"/>
    <w:rsid w:val="00772CCE"/>
    <w:rsid w:val="007744A2"/>
    <w:rsid w:val="00775FB7"/>
    <w:rsid w:val="00776DB9"/>
    <w:rsid w:val="007851AB"/>
    <w:rsid w:val="00785CA4"/>
    <w:rsid w:val="00785EA2"/>
    <w:rsid w:val="00786350"/>
    <w:rsid w:val="00786A4F"/>
    <w:rsid w:val="00787629"/>
    <w:rsid w:val="00790F5D"/>
    <w:rsid w:val="00791452"/>
    <w:rsid w:val="00797693"/>
    <w:rsid w:val="007A01BE"/>
    <w:rsid w:val="007A03F6"/>
    <w:rsid w:val="007A0911"/>
    <w:rsid w:val="007A111C"/>
    <w:rsid w:val="007A11B5"/>
    <w:rsid w:val="007A2D2E"/>
    <w:rsid w:val="007A353D"/>
    <w:rsid w:val="007A38CD"/>
    <w:rsid w:val="007A3B50"/>
    <w:rsid w:val="007A7612"/>
    <w:rsid w:val="007A7C28"/>
    <w:rsid w:val="007B091E"/>
    <w:rsid w:val="007B0A37"/>
    <w:rsid w:val="007B100D"/>
    <w:rsid w:val="007B17BA"/>
    <w:rsid w:val="007B1EC5"/>
    <w:rsid w:val="007B458E"/>
    <w:rsid w:val="007B6687"/>
    <w:rsid w:val="007B6719"/>
    <w:rsid w:val="007C0A70"/>
    <w:rsid w:val="007C0DB1"/>
    <w:rsid w:val="007C0F54"/>
    <w:rsid w:val="007C1288"/>
    <w:rsid w:val="007C1FB0"/>
    <w:rsid w:val="007C25F5"/>
    <w:rsid w:val="007C4F9A"/>
    <w:rsid w:val="007C6F4D"/>
    <w:rsid w:val="007C74F4"/>
    <w:rsid w:val="007C786F"/>
    <w:rsid w:val="007C7AF5"/>
    <w:rsid w:val="007D2F67"/>
    <w:rsid w:val="007E1EC4"/>
    <w:rsid w:val="007E1ED2"/>
    <w:rsid w:val="007E27D0"/>
    <w:rsid w:val="007E2DD2"/>
    <w:rsid w:val="007E37A6"/>
    <w:rsid w:val="007E4DAC"/>
    <w:rsid w:val="007E53A0"/>
    <w:rsid w:val="007E7287"/>
    <w:rsid w:val="007E7331"/>
    <w:rsid w:val="007E7E41"/>
    <w:rsid w:val="007F135D"/>
    <w:rsid w:val="007F28BF"/>
    <w:rsid w:val="007F3079"/>
    <w:rsid w:val="007F4522"/>
    <w:rsid w:val="007F77E5"/>
    <w:rsid w:val="0080004A"/>
    <w:rsid w:val="008027B3"/>
    <w:rsid w:val="008035D8"/>
    <w:rsid w:val="00804C97"/>
    <w:rsid w:val="00805092"/>
    <w:rsid w:val="00806311"/>
    <w:rsid w:val="00806707"/>
    <w:rsid w:val="00807A7E"/>
    <w:rsid w:val="00807C1F"/>
    <w:rsid w:val="00811407"/>
    <w:rsid w:val="00811D16"/>
    <w:rsid w:val="0081203D"/>
    <w:rsid w:val="008124CE"/>
    <w:rsid w:val="0081481F"/>
    <w:rsid w:val="00814DD5"/>
    <w:rsid w:val="0081772E"/>
    <w:rsid w:val="00821F45"/>
    <w:rsid w:val="008224F5"/>
    <w:rsid w:val="00822E95"/>
    <w:rsid w:val="00824A59"/>
    <w:rsid w:val="00825555"/>
    <w:rsid w:val="00827E33"/>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4691F"/>
    <w:rsid w:val="00850A99"/>
    <w:rsid w:val="00850AB3"/>
    <w:rsid w:val="008536F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F74"/>
    <w:rsid w:val="00880B96"/>
    <w:rsid w:val="008830C1"/>
    <w:rsid w:val="008831BE"/>
    <w:rsid w:val="008841CD"/>
    <w:rsid w:val="008842F1"/>
    <w:rsid w:val="00886168"/>
    <w:rsid w:val="008873C3"/>
    <w:rsid w:val="008874E5"/>
    <w:rsid w:val="00887A24"/>
    <w:rsid w:val="00891ED8"/>
    <w:rsid w:val="008931BF"/>
    <w:rsid w:val="00893A49"/>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37EE"/>
    <w:rsid w:val="008F4A3B"/>
    <w:rsid w:val="008F5105"/>
    <w:rsid w:val="008F5619"/>
    <w:rsid w:val="008F6CC5"/>
    <w:rsid w:val="00905F28"/>
    <w:rsid w:val="009068A0"/>
    <w:rsid w:val="00910DA1"/>
    <w:rsid w:val="00912536"/>
    <w:rsid w:val="00913B6F"/>
    <w:rsid w:val="0091464C"/>
    <w:rsid w:val="009159A8"/>
    <w:rsid w:val="00915EBC"/>
    <w:rsid w:val="00917F36"/>
    <w:rsid w:val="00922BF2"/>
    <w:rsid w:val="009234A1"/>
    <w:rsid w:val="0092618D"/>
    <w:rsid w:val="00927E69"/>
    <w:rsid w:val="0093063E"/>
    <w:rsid w:val="00930860"/>
    <w:rsid w:val="0093255E"/>
    <w:rsid w:val="009339ED"/>
    <w:rsid w:val="00934E38"/>
    <w:rsid w:val="00935394"/>
    <w:rsid w:val="00941140"/>
    <w:rsid w:val="009422A7"/>
    <w:rsid w:val="0094625A"/>
    <w:rsid w:val="009467B0"/>
    <w:rsid w:val="009468A5"/>
    <w:rsid w:val="00946E7E"/>
    <w:rsid w:val="00947455"/>
    <w:rsid w:val="009505B5"/>
    <w:rsid w:val="00950B5B"/>
    <w:rsid w:val="00950EC9"/>
    <w:rsid w:val="0095256F"/>
    <w:rsid w:val="00954FA5"/>
    <w:rsid w:val="00955160"/>
    <w:rsid w:val="00955A2D"/>
    <w:rsid w:val="0095611C"/>
    <w:rsid w:val="00957449"/>
    <w:rsid w:val="00957971"/>
    <w:rsid w:val="00960E3E"/>
    <w:rsid w:val="00961428"/>
    <w:rsid w:val="009619A5"/>
    <w:rsid w:val="009619DA"/>
    <w:rsid w:val="009659D8"/>
    <w:rsid w:val="0096708E"/>
    <w:rsid w:val="00971187"/>
    <w:rsid w:val="0097122E"/>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3FD"/>
    <w:rsid w:val="009C344A"/>
    <w:rsid w:val="009C352A"/>
    <w:rsid w:val="009C531E"/>
    <w:rsid w:val="009C5B29"/>
    <w:rsid w:val="009C7BE5"/>
    <w:rsid w:val="009D126F"/>
    <w:rsid w:val="009D1BA7"/>
    <w:rsid w:val="009D6096"/>
    <w:rsid w:val="009D7416"/>
    <w:rsid w:val="009D7F33"/>
    <w:rsid w:val="009E0368"/>
    <w:rsid w:val="009E3962"/>
    <w:rsid w:val="009E4A61"/>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218A"/>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854"/>
    <w:rsid w:val="00A5307E"/>
    <w:rsid w:val="00A538CE"/>
    <w:rsid w:val="00A60028"/>
    <w:rsid w:val="00A60279"/>
    <w:rsid w:val="00A61C3E"/>
    <w:rsid w:val="00A6293A"/>
    <w:rsid w:val="00A6326E"/>
    <w:rsid w:val="00A64185"/>
    <w:rsid w:val="00A65A78"/>
    <w:rsid w:val="00A71307"/>
    <w:rsid w:val="00A71359"/>
    <w:rsid w:val="00A71DA5"/>
    <w:rsid w:val="00A73A52"/>
    <w:rsid w:val="00A75083"/>
    <w:rsid w:val="00A75520"/>
    <w:rsid w:val="00A75A45"/>
    <w:rsid w:val="00A815D8"/>
    <w:rsid w:val="00A823E5"/>
    <w:rsid w:val="00A845A4"/>
    <w:rsid w:val="00A861CC"/>
    <w:rsid w:val="00A9418F"/>
    <w:rsid w:val="00A95DF9"/>
    <w:rsid w:val="00A97CDE"/>
    <w:rsid w:val="00AA09E5"/>
    <w:rsid w:val="00AA1B5D"/>
    <w:rsid w:val="00AA5A87"/>
    <w:rsid w:val="00AA676E"/>
    <w:rsid w:val="00AA6964"/>
    <w:rsid w:val="00AB0368"/>
    <w:rsid w:val="00AB0674"/>
    <w:rsid w:val="00AB0E69"/>
    <w:rsid w:val="00AB14AF"/>
    <w:rsid w:val="00AB1E1A"/>
    <w:rsid w:val="00AB2181"/>
    <w:rsid w:val="00AB45B6"/>
    <w:rsid w:val="00AC0AC2"/>
    <w:rsid w:val="00AC361B"/>
    <w:rsid w:val="00AC758F"/>
    <w:rsid w:val="00AD1166"/>
    <w:rsid w:val="00AD1D77"/>
    <w:rsid w:val="00AD46E2"/>
    <w:rsid w:val="00AD586C"/>
    <w:rsid w:val="00AD5ACD"/>
    <w:rsid w:val="00AD70A3"/>
    <w:rsid w:val="00AE163A"/>
    <w:rsid w:val="00AE1E9A"/>
    <w:rsid w:val="00AE26B4"/>
    <w:rsid w:val="00AE4B44"/>
    <w:rsid w:val="00AF4974"/>
    <w:rsid w:val="00B00E0B"/>
    <w:rsid w:val="00B02DA6"/>
    <w:rsid w:val="00B0523B"/>
    <w:rsid w:val="00B0693D"/>
    <w:rsid w:val="00B07E33"/>
    <w:rsid w:val="00B10435"/>
    <w:rsid w:val="00B112E9"/>
    <w:rsid w:val="00B11641"/>
    <w:rsid w:val="00B12302"/>
    <w:rsid w:val="00B12B93"/>
    <w:rsid w:val="00B13C6E"/>
    <w:rsid w:val="00B13D3A"/>
    <w:rsid w:val="00B14439"/>
    <w:rsid w:val="00B145DC"/>
    <w:rsid w:val="00B1472A"/>
    <w:rsid w:val="00B148DD"/>
    <w:rsid w:val="00B1702B"/>
    <w:rsid w:val="00B21408"/>
    <w:rsid w:val="00B22526"/>
    <w:rsid w:val="00B225E2"/>
    <w:rsid w:val="00B23DF1"/>
    <w:rsid w:val="00B2506C"/>
    <w:rsid w:val="00B26E0C"/>
    <w:rsid w:val="00B30279"/>
    <w:rsid w:val="00B33ACB"/>
    <w:rsid w:val="00B34DE4"/>
    <w:rsid w:val="00B3518B"/>
    <w:rsid w:val="00B35807"/>
    <w:rsid w:val="00B35E3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53E9"/>
    <w:rsid w:val="00B656CB"/>
    <w:rsid w:val="00B66ACC"/>
    <w:rsid w:val="00B66C55"/>
    <w:rsid w:val="00B66EF4"/>
    <w:rsid w:val="00B70E8C"/>
    <w:rsid w:val="00B75C7B"/>
    <w:rsid w:val="00B76582"/>
    <w:rsid w:val="00B81B4D"/>
    <w:rsid w:val="00B822EA"/>
    <w:rsid w:val="00B82D84"/>
    <w:rsid w:val="00B85873"/>
    <w:rsid w:val="00B86DB1"/>
    <w:rsid w:val="00B87737"/>
    <w:rsid w:val="00B901D9"/>
    <w:rsid w:val="00B91BE0"/>
    <w:rsid w:val="00B933BE"/>
    <w:rsid w:val="00B9341A"/>
    <w:rsid w:val="00B9515B"/>
    <w:rsid w:val="00B968CD"/>
    <w:rsid w:val="00B968DD"/>
    <w:rsid w:val="00B9748A"/>
    <w:rsid w:val="00B97FC6"/>
    <w:rsid w:val="00BA14B3"/>
    <w:rsid w:val="00BA1B7B"/>
    <w:rsid w:val="00BA1DEE"/>
    <w:rsid w:val="00BA2948"/>
    <w:rsid w:val="00BA5989"/>
    <w:rsid w:val="00BA5BDB"/>
    <w:rsid w:val="00BA6144"/>
    <w:rsid w:val="00BA678C"/>
    <w:rsid w:val="00BA697D"/>
    <w:rsid w:val="00BB0EFB"/>
    <w:rsid w:val="00BB1D6D"/>
    <w:rsid w:val="00BB1DFE"/>
    <w:rsid w:val="00BB26DF"/>
    <w:rsid w:val="00BB3AD3"/>
    <w:rsid w:val="00BB4FB0"/>
    <w:rsid w:val="00BB52EF"/>
    <w:rsid w:val="00BB6112"/>
    <w:rsid w:val="00BB6C49"/>
    <w:rsid w:val="00BB7846"/>
    <w:rsid w:val="00BC2EC6"/>
    <w:rsid w:val="00BC32BA"/>
    <w:rsid w:val="00BC6984"/>
    <w:rsid w:val="00BC6D38"/>
    <w:rsid w:val="00BC7296"/>
    <w:rsid w:val="00BC74CD"/>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5C36"/>
    <w:rsid w:val="00C16E3D"/>
    <w:rsid w:val="00C17CA0"/>
    <w:rsid w:val="00C213A4"/>
    <w:rsid w:val="00C220DC"/>
    <w:rsid w:val="00C221A4"/>
    <w:rsid w:val="00C226EB"/>
    <w:rsid w:val="00C227A2"/>
    <w:rsid w:val="00C237BC"/>
    <w:rsid w:val="00C24218"/>
    <w:rsid w:val="00C24D31"/>
    <w:rsid w:val="00C25F0F"/>
    <w:rsid w:val="00C26455"/>
    <w:rsid w:val="00C2732A"/>
    <w:rsid w:val="00C3352F"/>
    <w:rsid w:val="00C34010"/>
    <w:rsid w:val="00C359AB"/>
    <w:rsid w:val="00C35D2F"/>
    <w:rsid w:val="00C36725"/>
    <w:rsid w:val="00C369B4"/>
    <w:rsid w:val="00C37D35"/>
    <w:rsid w:val="00C420A0"/>
    <w:rsid w:val="00C435DE"/>
    <w:rsid w:val="00C43D05"/>
    <w:rsid w:val="00C455D8"/>
    <w:rsid w:val="00C45A1F"/>
    <w:rsid w:val="00C45B50"/>
    <w:rsid w:val="00C46885"/>
    <w:rsid w:val="00C47FD7"/>
    <w:rsid w:val="00C50B47"/>
    <w:rsid w:val="00C51530"/>
    <w:rsid w:val="00C51A4E"/>
    <w:rsid w:val="00C542D8"/>
    <w:rsid w:val="00C54ED6"/>
    <w:rsid w:val="00C5657C"/>
    <w:rsid w:val="00C573DD"/>
    <w:rsid w:val="00C576A2"/>
    <w:rsid w:val="00C603C9"/>
    <w:rsid w:val="00C60A8D"/>
    <w:rsid w:val="00C64D2E"/>
    <w:rsid w:val="00C67270"/>
    <w:rsid w:val="00C674F5"/>
    <w:rsid w:val="00C73071"/>
    <w:rsid w:val="00C7321E"/>
    <w:rsid w:val="00C74CFD"/>
    <w:rsid w:val="00C75CF2"/>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310"/>
    <w:rsid w:val="00CA14A8"/>
    <w:rsid w:val="00CA1D3A"/>
    <w:rsid w:val="00CA1E1B"/>
    <w:rsid w:val="00CA1EC7"/>
    <w:rsid w:val="00CA3B08"/>
    <w:rsid w:val="00CA449D"/>
    <w:rsid w:val="00CA788D"/>
    <w:rsid w:val="00CB00C0"/>
    <w:rsid w:val="00CB0FEA"/>
    <w:rsid w:val="00CB2BC9"/>
    <w:rsid w:val="00CB300B"/>
    <w:rsid w:val="00CB3E5C"/>
    <w:rsid w:val="00CB3F4B"/>
    <w:rsid w:val="00CB54BD"/>
    <w:rsid w:val="00CB570A"/>
    <w:rsid w:val="00CC0F88"/>
    <w:rsid w:val="00CC2864"/>
    <w:rsid w:val="00CC2904"/>
    <w:rsid w:val="00CC3182"/>
    <w:rsid w:val="00CC3CE2"/>
    <w:rsid w:val="00CC5F4A"/>
    <w:rsid w:val="00CC6911"/>
    <w:rsid w:val="00CD2746"/>
    <w:rsid w:val="00CD36B7"/>
    <w:rsid w:val="00CD51C1"/>
    <w:rsid w:val="00CD7CD0"/>
    <w:rsid w:val="00CE0CC1"/>
    <w:rsid w:val="00CE13EC"/>
    <w:rsid w:val="00CE1882"/>
    <w:rsid w:val="00CE19EB"/>
    <w:rsid w:val="00CE2BCF"/>
    <w:rsid w:val="00CE2E56"/>
    <w:rsid w:val="00CE5845"/>
    <w:rsid w:val="00CE735B"/>
    <w:rsid w:val="00CF0459"/>
    <w:rsid w:val="00CF26E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6204"/>
    <w:rsid w:val="00D174AD"/>
    <w:rsid w:val="00D20B56"/>
    <w:rsid w:val="00D2595D"/>
    <w:rsid w:val="00D25982"/>
    <w:rsid w:val="00D26777"/>
    <w:rsid w:val="00D26B24"/>
    <w:rsid w:val="00D301E2"/>
    <w:rsid w:val="00D313AD"/>
    <w:rsid w:val="00D3162D"/>
    <w:rsid w:val="00D31816"/>
    <w:rsid w:val="00D33CEC"/>
    <w:rsid w:val="00D3589E"/>
    <w:rsid w:val="00D3630E"/>
    <w:rsid w:val="00D368CC"/>
    <w:rsid w:val="00D36E6B"/>
    <w:rsid w:val="00D36F5F"/>
    <w:rsid w:val="00D36F69"/>
    <w:rsid w:val="00D37722"/>
    <w:rsid w:val="00D37822"/>
    <w:rsid w:val="00D40FA0"/>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7C"/>
    <w:rsid w:val="00D712B0"/>
    <w:rsid w:val="00D715B8"/>
    <w:rsid w:val="00D72CE8"/>
    <w:rsid w:val="00D7661C"/>
    <w:rsid w:val="00D77918"/>
    <w:rsid w:val="00D80838"/>
    <w:rsid w:val="00D814E1"/>
    <w:rsid w:val="00D822E6"/>
    <w:rsid w:val="00D83359"/>
    <w:rsid w:val="00D85095"/>
    <w:rsid w:val="00D86D4B"/>
    <w:rsid w:val="00D901BB"/>
    <w:rsid w:val="00D91251"/>
    <w:rsid w:val="00D92827"/>
    <w:rsid w:val="00D92857"/>
    <w:rsid w:val="00D92F57"/>
    <w:rsid w:val="00D931C6"/>
    <w:rsid w:val="00D93210"/>
    <w:rsid w:val="00D93731"/>
    <w:rsid w:val="00D94A94"/>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FED"/>
    <w:rsid w:val="00E01500"/>
    <w:rsid w:val="00E03A28"/>
    <w:rsid w:val="00E05C2E"/>
    <w:rsid w:val="00E06EC3"/>
    <w:rsid w:val="00E10A8D"/>
    <w:rsid w:val="00E114CC"/>
    <w:rsid w:val="00E11724"/>
    <w:rsid w:val="00E11890"/>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6161"/>
    <w:rsid w:val="00E37F1A"/>
    <w:rsid w:val="00E40D32"/>
    <w:rsid w:val="00E440AF"/>
    <w:rsid w:val="00E47F46"/>
    <w:rsid w:val="00E52BE0"/>
    <w:rsid w:val="00E56D98"/>
    <w:rsid w:val="00E57CAA"/>
    <w:rsid w:val="00E602E6"/>
    <w:rsid w:val="00E6138F"/>
    <w:rsid w:val="00E64E34"/>
    <w:rsid w:val="00E64E67"/>
    <w:rsid w:val="00E65C42"/>
    <w:rsid w:val="00E7027E"/>
    <w:rsid w:val="00E7068A"/>
    <w:rsid w:val="00E720BE"/>
    <w:rsid w:val="00E72C11"/>
    <w:rsid w:val="00E73B09"/>
    <w:rsid w:val="00E757A7"/>
    <w:rsid w:val="00E763FD"/>
    <w:rsid w:val="00E76B8F"/>
    <w:rsid w:val="00E76C6D"/>
    <w:rsid w:val="00E80A27"/>
    <w:rsid w:val="00E81711"/>
    <w:rsid w:val="00E820DE"/>
    <w:rsid w:val="00E83DA0"/>
    <w:rsid w:val="00E83EF2"/>
    <w:rsid w:val="00E85343"/>
    <w:rsid w:val="00E855C9"/>
    <w:rsid w:val="00E87C5D"/>
    <w:rsid w:val="00E931F2"/>
    <w:rsid w:val="00E97775"/>
    <w:rsid w:val="00EA0E96"/>
    <w:rsid w:val="00EA108D"/>
    <w:rsid w:val="00EA3C2D"/>
    <w:rsid w:val="00EA4A36"/>
    <w:rsid w:val="00EA60BD"/>
    <w:rsid w:val="00EB31AF"/>
    <w:rsid w:val="00EB5DC6"/>
    <w:rsid w:val="00EB6681"/>
    <w:rsid w:val="00EB67E1"/>
    <w:rsid w:val="00EB6EAC"/>
    <w:rsid w:val="00EC03C5"/>
    <w:rsid w:val="00EC0404"/>
    <w:rsid w:val="00EC17EE"/>
    <w:rsid w:val="00EC2779"/>
    <w:rsid w:val="00ED0ED3"/>
    <w:rsid w:val="00ED2794"/>
    <w:rsid w:val="00ED30CD"/>
    <w:rsid w:val="00ED4947"/>
    <w:rsid w:val="00ED4F2A"/>
    <w:rsid w:val="00ED596F"/>
    <w:rsid w:val="00ED5A76"/>
    <w:rsid w:val="00ED63FC"/>
    <w:rsid w:val="00ED76D1"/>
    <w:rsid w:val="00ED7D60"/>
    <w:rsid w:val="00EE4719"/>
    <w:rsid w:val="00EE525D"/>
    <w:rsid w:val="00EE57EF"/>
    <w:rsid w:val="00EE585A"/>
    <w:rsid w:val="00EE7733"/>
    <w:rsid w:val="00EF064E"/>
    <w:rsid w:val="00EF12DC"/>
    <w:rsid w:val="00EF32D6"/>
    <w:rsid w:val="00EF3874"/>
    <w:rsid w:val="00EF38E4"/>
    <w:rsid w:val="00EF415C"/>
    <w:rsid w:val="00EF5B35"/>
    <w:rsid w:val="00F022F5"/>
    <w:rsid w:val="00F057B5"/>
    <w:rsid w:val="00F06140"/>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48C7"/>
    <w:rsid w:val="00F45AF7"/>
    <w:rsid w:val="00F4782B"/>
    <w:rsid w:val="00F47C1F"/>
    <w:rsid w:val="00F5064F"/>
    <w:rsid w:val="00F50EAB"/>
    <w:rsid w:val="00F51505"/>
    <w:rsid w:val="00F52081"/>
    <w:rsid w:val="00F561AA"/>
    <w:rsid w:val="00F563C0"/>
    <w:rsid w:val="00F563E0"/>
    <w:rsid w:val="00F564A9"/>
    <w:rsid w:val="00F56DBD"/>
    <w:rsid w:val="00F57B56"/>
    <w:rsid w:val="00F6026A"/>
    <w:rsid w:val="00F61277"/>
    <w:rsid w:val="00F6194A"/>
    <w:rsid w:val="00F62499"/>
    <w:rsid w:val="00F62D76"/>
    <w:rsid w:val="00F653D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A0803"/>
    <w:rsid w:val="00FA2C1D"/>
    <w:rsid w:val="00FA2D0E"/>
    <w:rsid w:val="00FA4386"/>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2</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18</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17</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5</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8</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9</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11</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12</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15</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14</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13</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16</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10</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5AADC9-5654-4A1E-A04B-395958C0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45</Pages>
  <Words>14934</Words>
  <Characters>85124</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99859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200</cp:revision>
  <cp:lastPrinted>2010-05-13T14:30:00Z</cp:lastPrinted>
  <dcterms:created xsi:type="dcterms:W3CDTF">2010-08-18T14:38:00Z</dcterms:created>
  <dcterms:modified xsi:type="dcterms:W3CDTF">2010-08-26T18:36:00Z</dcterms:modified>
</cp:coreProperties>
</file>