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85A6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8972409" w:history="1">
        <w:r w:rsidR="00185A64" w:rsidRPr="003B1FF7">
          <w:rPr>
            <w:rStyle w:val="Hyperlink"/>
            <w:noProof/>
            <w:lang w:eastAsia="zh-TW"/>
          </w:rPr>
          <w:t>1</w:t>
        </w:r>
        <w:r w:rsidR="00185A64">
          <w:rPr>
            <w:noProof/>
            <w:sz w:val="22"/>
            <w:szCs w:val="22"/>
            <w:lang w:eastAsia="en-GB" w:bidi="ar-SA"/>
          </w:rPr>
          <w:tab/>
        </w:r>
        <w:r w:rsidR="00185A64" w:rsidRPr="003B1FF7">
          <w:rPr>
            <w:rStyle w:val="Hyperlink"/>
            <w:noProof/>
            <w:lang w:eastAsia="zh-TW"/>
          </w:rPr>
          <w:t>Introduction</w:t>
        </w:r>
        <w:r w:rsidR="00185A64">
          <w:rPr>
            <w:noProof/>
            <w:webHidden/>
          </w:rPr>
          <w:tab/>
        </w:r>
        <w:r w:rsidR="00185A64">
          <w:rPr>
            <w:noProof/>
            <w:webHidden/>
          </w:rPr>
          <w:fldChar w:fldCharType="begin"/>
        </w:r>
        <w:r w:rsidR="00185A64">
          <w:rPr>
            <w:noProof/>
            <w:webHidden/>
          </w:rPr>
          <w:instrText xml:space="preserve"> PAGEREF _Toc268972409 \h </w:instrText>
        </w:r>
        <w:r w:rsidR="00185A64">
          <w:rPr>
            <w:noProof/>
            <w:webHidden/>
          </w:rPr>
        </w:r>
        <w:r w:rsidR="00185A64">
          <w:rPr>
            <w:noProof/>
            <w:webHidden/>
          </w:rPr>
          <w:fldChar w:fldCharType="separate"/>
        </w:r>
        <w:r w:rsidR="00185A64">
          <w:rPr>
            <w:noProof/>
            <w:webHidden/>
          </w:rPr>
          <w:t>1</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10" w:history="1">
        <w:r w:rsidR="00185A64" w:rsidRPr="003B1FF7">
          <w:rPr>
            <w:rStyle w:val="Hyperlink"/>
            <w:noProof/>
            <w:lang w:eastAsia="zh-TW"/>
          </w:rPr>
          <w:t>2</w:t>
        </w:r>
        <w:r w:rsidR="00185A64">
          <w:rPr>
            <w:noProof/>
            <w:sz w:val="22"/>
            <w:szCs w:val="22"/>
            <w:lang w:eastAsia="en-GB" w:bidi="ar-SA"/>
          </w:rPr>
          <w:tab/>
        </w:r>
        <w:r w:rsidR="00185A64" w:rsidRPr="003B1FF7">
          <w:rPr>
            <w:rStyle w:val="Hyperlink"/>
            <w:noProof/>
            <w:lang w:eastAsia="zh-TW"/>
          </w:rPr>
          <w:t>Background</w:t>
        </w:r>
        <w:r w:rsidR="00185A64">
          <w:rPr>
            <w:noProof/>
            <w:webHidden/>
          </w:rPr>
          <w:tab/>
        </w:r>
        <w:r w:rsidR="00185A64">
          <w:rPr>
            <w:noProof/>
            <w:webHidden/>
          </w:rPr>
          <w:fldChar w:fldCharType="begin"/>
        </w:r>
        <w:r w:rsidR="00185A64">
          <w:rPr>
            <w:noProof/>
            <w:webHidden/>
          </w:rPr>
          <w:instrText xml:space="preserve"> PAGEREF _Toc268972410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1" w:history="1">
        <w:r w:rsidR="00185A64" w:rsidRPr="003B1FF7">
          <w:rPr>
            <w:rStyle w:val="Hyperlink"/>
            <w:noProof/>
            <w:lang w:eastAsia="zh-TW"/>
          </w:rPr>
          <w:t>2.1</w:t>
        </w:r>
        <w:r w:rsidR="00185A64">
          <w:rPr>
            <w:noProof/>
            <w:sz w:val="22"/>
            <w:szCs w:val="22"/>
            <w:lang w:eastAsia="en-GB" w:bidi="ar-SA"/>
          </w:rPr>
          <w:tab/>
        </w:r>
        <w:r w:rsidR="00185A64" w:rsidRPr="003B1FF7">
          <w:rPr>
            <w:rStyle w:val="Hyperlink"/>
            <w:noProof/>
            <w:lang w:eastAsia="zh-TW"/>
          </w:rPr>
          <w:t>Temporal Expressions</w:t>
        </w:r>
        <w:r w:rsidR="00185A64">
          <w:rPr>
            <w:noProof/>
            <w:webHidden/>
          </w:rPr>
          <w:tab/>
        </w:r>
        <w:r w:rsidR="00185A64">
          <w:rPr>
            <w:noProof/>
            <w:webHidden/>
          </w:rPr>
          <w:fldChar w:fldCharType="begin"/>
        </w:r>
        <w:r w:rsidR="00185A64">
          <w:rPr>
            <w:noProof/>
            <w:webHidden/>
          </w:rPr>
          <w:instrText xml:space="preserve"> PAGEREF _Toc268972411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2" w:history="1">
        <w:r w:rsidR="00185A64" w:rsidRPr="003B1FF7">
          <w:rPr>
            <w:rStyle w:val="Hyperlink"/>
            <w:noProof/>
            <w:lang w:eastAsia="zh-TW"/>
          </w:rPr>
          <w:t>2.2</w:t>
        </w:r>
        <w:r w:rsidR="00185A64">
          <w:rPr>
            <w:noProof/>
            <w:sz w:val="22"/>
            <w:szCs w:val="22"/>
            <w:lang w:eastAsia="en-GB" w:bidi="ar-SA"/>
          </w:rPr>
          <w:tab/>
        </w:r>
        <w:r w:rsidR="00185A64" w:rsidRPr="003B1FF7">
          <w:rPr>
            <w:rStyle w:val="Hyperlink"/>
            <w:noProof/>
            <w:lang w:eastAsia="zh-TW"/>
          </w:rPr>
          <w:t>Annotation Standards</w:t>
        </w:r>
        <w:r w:rsidR="00185A64">
          <w:rPr>
            <w:noProof/>
            <w:webHidden/>
          </w:rPr>
          <w:tab/>
        </w:r>
        <w:r w:rsidR="00185A64">
          <w:rPr>
            <w:noProof/>
            <w:webHidden/>
          </w:rPr>
          <w:fldChar w:fldCharType="begin"/>
        </w:r>
        <w:r w:rsidR="00185A64">
          <w:rPr>
            <w:noProof/>
            <w:webHidden/>
          </w:rPr>
          <w:instrText xml:space="preserve"> PAGEREF _Toc268972412 \h </w:instrText>
        </w:r>
        <w:r w:rsidR="00185A64">
          <w:rPr>
            <w:noProof/>
            <w:webHidden/>
          </w:rPr>
        </w:r>
        <w:r w:rsidR="00185A64">
          <w:rPr>
            <w:noProof/>
            <w:webHidden/>
          </w:rPr>
          <w:fldChar w:fldCharType="separate"/>
        </w:r>
        <w:r w:rsidR="00185A64">
          <w:rPr>
            <w:noProof/>
            <w:webHidden/>
          </w:rPr>
          <w:t>3</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3" w:history="1">
        <w:r w:rsidR="00185A64" w:rsidRPr="003B1FF7">
          <w:rPr>
            <w:rStyle w:val="Hyperlink"/>
            <w:noProof/>
          </w:rPr>
          <w:t>2.3</w:t>
        </w:r>
        <w:r w:rsidR="00185A64">
          <w:rPr>
            <w:noProof/>
            <w:sz w:val="22"/>
            <w:szCs w:val="22"/>
            <w:lang w:eastAsia="en-GB" w:bidi="ar-SA"/>
          </w:rPr>
          <w:tab/>
        </w:r>
        <w:r w:rsidR="00185A64" w:rsidRPr="003B1FF7">
          <w:rPr>
            <w:rStyle w:val="Hyperlink"/>
            <w:noProof/>
          </w:rPr>
          <w:t>Evaluating Tagger Performance</w:t>
        </w:r>
        <w:r w:rsidR="00185A64">
          <w:rPr>
            <w:noProof/>
            <w:webHidden/>
          </w:rPr>
          <w:tab/>
        </w:r>
        <w:r w:rsidR="00185A64">
          <w:rPr>
            <w:noProof/>
            <w:webHidden/>
          </w:rPr>
          <w:fldChar w:fldCharType="begin"/>
        </w:r>
        <w:r w:rsidR="00185A64">
          <w:rPr>
            <w:noProof/>
            <w:webHidden/>
          </w:rPr>
          <w:instrText xml:space="preserve"> PAGEREF _Toc268972413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4" w:history="1">
        <w:r w:rsidR="00185A64" w:rsidRPr="003B1FF7">
          <w:rPr>
            <w:rStyle w:val="Hyperlink"/>
            <w:noProof/>
            <w:lang w:eastAsia="zh-TW"/>
          </w:rPr>
          <w:t>2.4</w:t>
        </w:r>
        <w:r w:rsidR="00185A64">
          <w:rPr>
            <w:noProof/>
            <w:sz w:val="22"/>
            <w:szCs w:val="22"/>
            <w:lang w:eastAsia="en-GB" w:bidi="ar-SA"/>
          </w:rPr>
          <w:tab/>
        </w:r>
        <w:r w:rsidR="00185A64" w:rsidRPr="003B1FF7">
          <w:rPr>
            <w:rStyle w:val="Hyperlink"/>
            <w:noProof/>
            <w:lang w:eastAsia="zh-TW"/>
          </w:rPr>
          <w:t>Corpora</w:t>
        </w:r>
        <w:r w:rsidR="00185A64">
          <w:rPr>
            <w:noProof/>
            <w:webHidden/>
          </w:rPr>
          <w:tab/>
        </w:r>
        <w:r w:rsidR="00185A64">
          <w:rPr>
            <w:noProof/>
            <w:webHidden/>
          </w:rPr>
          <w:fldChar w:fldCharType="begin"/>
        </w:r>
        <w:r w:rsidR="00185A64">
          <w:rPr>
            <w:noProof/>
            <w:webHidden/>
          </w:rPr>
          <w:instrText xml:space="preserve"> PAGEREF _Toc268972414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5" w:history="1">
        <w:r w:rsidR="00185A64" w:rsidRPr="003B1FF7">
          <w:rPr>
            <w:rStyle w:val="Hyperlink"/>
            <w:noProof/>
          </w:rPr>
          <w:t>2.5</w:t>
        </w:r>
        <w:r w:rsidR="00185A64">
          <w:rPr>
            <w:noProof/>
            <w:sz w:val="22"/>
            <w:szCs w:val="22"/>
            <w:lang w:eastAsia="en-GB" w:bidi="ar-SA"/>
          </w:rPr>
          <w:tab/>
        </w:r>
        <w:r w:rsidR="00185A64" w:rsidRPr="003B1FF7">
          <w:rPr>
            <w:rStyle w:val="Hyperlink"/>
            <w:noProof/>
          </w:rPr>
          <w:t>Temporal Expression Taggers</w:t>
        </w:r>
        <w:r w:rsidR="00185A64">
          <w:rPr>
            <w:noProof/>
            <w:webHidden/>
          </w:rPr>
          <w:tab/>
        </w:r>
        <w:r w:rsidR="00185A64">
          <w:rPr>
            <w:noProof/>
            <w:webHidden/>
          </w:rPr>
          <w:fldChar w:fldCharType="begin"/>
        </w:r>
        <w:r w:rsidR="00185A64">
          <w:rPr>
            <w:noProof/>
            <w:webHidden/>
          </w:rPr>
          <w:instrText xml:space="preserve"> PAGEREF _Toc268972415 \h </w:instrText>
        </w:r>
        <w:r w:rsidR="00185A64">
          <w:rPr>
            <w:noProof/>
            <w:webHidden/>
          </w:rPr>
        </w:r>
        <w:r w:rsidR="00185A64">
          <w:rPr>
            <w:noProof/>
            <w:webHidden/>
          </w:rPr>
          <w:fldChar w:fldCharType="separate"/>
        </w:r>
        <w:r w:rsidR="00185A64">
          <w:rPr>
            <w:noProof/>
            <w:webHidden/>
          </w:rPr>
          <w:t>7</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16" w:history="1">
        <w:r w:rsidR="00185A64" w:rsidRPr="003B1FF7">
          <w:rPr>
            <w:rStyle w:val="Hyperlink"/>
            <w:noProof/>
          </w:rPr>
          <w:t>3</w:t>
        </w:r>
        <w:r w:rsidR="00185A64">
          <w:rPr>
            <w:noProof/>
            <w:sz w:val="22"/>
            <w:szCs w:val="22"/>
            <w:lang w:eastAsia="en-GB" w:bidi="ar-SA"/>
          </w:rPr>
          <w:tab/>
        </w:r>
        <w:r w:rsidR="00185A64" w:rsidRPr="003B1FF7">
          <w:rPr>
            <w:rStyle w:val="Hyperlink"/>
            <w:noProof/>
          </w:rPr>
          <w:t>Problem Analysis</w:t>
        </w:r>
        <w:r w:rsidR="00185A64">
          <w:rPr>
            <w:noProof/>
            <w:webHidden/>
          </w:rPr>
          <w:tab/>
        </w:r>
        <w:r w:rsidR="00185A64">
          <w:rPr>
            <w:noProof/>
            <w:webHidden/>
          </w:rPr>
          <w:fldChar w:fldCharType="begin"/>
        </w:r>
        <w:r w:rsidR="00185A64">
          <w:rPr>
            <w:noProof/>
            <w:webHidden/>
          </w:rPr>
          <w:instrText xml:space="preserve"> PAGEREF _Toc268972416 \h </w:instrText>
        </w:r>
        <w:r w:rsidR="00185A64">
          <w:rPr>
            <w:noProof/>
            <w:webHidden/>
          </w:rPr>
        </w:r>
        <w:r w:rsidR="00185A64">
          <w:rPr>
            <w:noProof/>
            <w:webHidden/>
          </w:rPr>
          <w:fldChar w:fldCharType="separate"/>
        </w:r>
        <w:r w:rsidR="00185A64">
          <w:rPr>
            <w:noProof/>
            <w:webHidden/>
          </w:rPr>
          <w:t>13</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17" w:history="1">
        <w:r w:rsidR="00185A64" w:rsidRPr="003B1FF7">
          <w:rPr>
            <w:rStyle w:val="Hyperlink"/>
            <w:noProof/>
          </w:rPr>
          <w:t>4</w:t>
        </w:r>
        <w:r w:rsidR="00185A64">
          <w:rPr>
            <w:noProof/>
            <w:sz w:val="22"/>
            <w:szCs w:val="22"/>
            <w:lang w:eastAsia="en-GB" w:bidi="ar-SA"/>
          </w:rPr>
          <w:tab/>
        </w:r>
        <w:r w:rsidR="00185A64" w:rsidRPr="003B1FF7">
          <w:rPr>
            <w:rStyle w:val="Hyperlink"/>
            <w:noProof/>
          </w:rPr>
          <w:t>System</w:t>
        </w:r>
        <w:r w:rsidR="00185A64">
          <w:rPr>
            <w:noProof/>
            <w:webHidden/>
          </w:rPr>
          <w:tab/>
        </w:r>
        <w:r w:rsidR="00185A64">
          <w:rPr>
            <w:noProof/>
            <w:webHidden/>
          </w:rPr>
          <w:fldChar w:fldCharType="begin"/>
        </w:r>
        <w:r w:rsidR="00185A64">
          <w:rPr>
            <w:noProof/>
            <w:webHidden/>
          </w:rPr>
          <w:instrText xml:space="preserve"> PAGEREF _Toc268972417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8" w:history="1">
        <w:r w:rsidR="00185A64" w:rsidRPr="003B1FF7">
          <w:rPr>
            <w:rStyle w:val="Hyperlink"/>
            <w:noProof/>
          </w:rPr>
          <w:t>4.1</w:t>
        </w:r>
        <w:r w:rsidR="00185A64">
          <w:rPr>
            <w:noProof/>
            <w:sz w:val="22"/>
            <w:szCs w:val="22"/>
            <w:lang w:eastAsia="en-GB" w:bidi="ar-SA"/>
          </w:rPr>
          <w:tab/>
        </w:r>
        <w:r w:rsidR="00185A64" w:rsidRPr="003B1FF7">
          <w:rPr>
            <w:rStyle w:val="Hyperlink"/>
            <w:noProof/>
          </w:rPr>
          <w:t>Architecture</w:t>
        </w:r>
        <w:r w:rsidR="00185A64">
          <w:rPr>
            <w:noProof/>
            <w:webHidden/>
          </w:rPr>
          <w:tab/>
        </w:r>
        <w:r w:rsidR="00185A64">
          <w:rPr>
            <w:noProof/>
            <w:webHidden/>
          </w:rPr>
          <w:fldChar w:fldCharType="begin"/>
        </w:r>
        <w:r w:rsidR="00185A64">
          <w:rPr>
            <w:noProof/>
            <w:webHidden/>
          </w:rPr>
          <w:instrText xml:space="preserve"> PAGEREF _Toc268972418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19" w:history="1">
        <w:r w:rsidR="00185A64" w:rsidRPr="003B1FF7">
          <w:rPr>
            <w:rStyle w:val="Hyperlink"/>
            <w:noProof/>
          </w:rPr>
          <w:t>4.2</w:t>
        </w:r>
        <w:r w:rsidR="00185A64">
          <w:rPr>
            <w:noProof/>
            <w:sz w:val="22"/>
            <w:szCs w:val="22"/>
            <w:lang w:eastAsia="en-GB" w:bidi="ar-SA"/>
          </w:rPr>
          <w:tab/>
        </w:r>
        <w:r w:rsidR="00185A64" w:rsidRPr="003B1FF7">
          <w:rPr>
            <w:rStyle w:val="Hyperlink"/>
            <w:noProof/>
          </w:rPr>
          <w:t>Recognition By Rule</w:t>
        </w:r>
        <w:r w:rsidR="00185A64">
          <w:rPr>
            <w:noProof/>
            <w:webHidden/>
          </w:rPr>
          <w:tab/>
        </w:r>
        <w:r w:rsidR="00185A64">
          <w:rPr>
            <w:noProof/>
            <w:webHidden/>
          </w:rPr>
          <w:fldChar w:fldCharType="begin"/>
        </w:r>
        <w:r w:rsidR="00185A64">
          <w:rPr>
            <w:noProof/>
            <w:webHidden/>
          </w:rPr>
          <w:instrText xml:space="preserve"> PAGEREF _Toc268972419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20" w:history="1">
        <w:r w:rsidR="00185A64" w:rsidRPr="003B1FF7">
          <w:rPr>
            <w:rStyle w:val="Hyperlink"/>
            <w:noProof/>
          </w:rPr>
          <w:t>4.3</w:t>
        </w:r>
        <w:r w:rsidR="00185A64">
          <w:rPr>
            <w:noProof/>
            <w:sz w:val="22"/>
            <w:szCs w:val="22"/>
            <w:lang w:eastAsia="en-GB" w:bidi="ar-SA"/>
          </w:rPr>
          <w:tab/>
        </w:r>
        <w:r w:rsidR="00185A64" w:rsidRPr="003B1FF7">
          <w:rPr>
            <w:rStyle w:val="Hyperlink"/>
            <w:noProof/>
          </w:rPr>
          <w:t>Normalisation By Rule</w:t>
        </w:r>
        <w:r w:rsidR="00185A64">
          <w:rPr>
            <w:noProof/>
            <w:webHidden/>
          </w:rPr>
          <w:tab/>
        </w:r>
        <w:r w:rsidR="00185A64">
          <w:rPr>
            <w:noProof/>
            <w:webHidden/>
          </w:rPr>
          <w:fldChar w:fldCharType="begin"/>
        </w:r>
        <w:r w:rsidR="00185A64">
          <w:rPr>
            <w:noProof/>
            <w:webHidden/>
          </w:rPr>
          <w:instrText xml:space="preserve"> PAGEREF _Toc268972420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21" w:history="1">
        <w:r w:rsidR="00185A64" w:rsidRPr="003B1FF7">
          <w:rPr>
            <w:rStyle w:val="Hyperlink"/>
            <w:noProof/>
          </w:rPr>
          <w:t>4.4</w:t>
        </w:r>
        <w:r w:rsidR="00185A64">
          <w:rPr>
            <w:noProof/>
            <w:sz w:val="22"/>
            <w:szCs w:val="22"/>
            <w:lang w:eastAsia="en-GB" w:bidi="ar-SA"/>
          </w:rPr>
          <w:tab/>
        </w:r>
        <w:r w:rsidR="00185A64" w:rsidRPr="003B1FF7">
          <w:rPr>
            <w:rStyle w:val="Hyperlink"/>
            <w:noProof/>
          </w:rPr>
          <w:t>Document Formats</w:t>
        </w:r>
        <w:r w:rsidR="00185A64">
          <w:rPr>
            <w:noProof/>
            <w:webHidden/>
          </w:rPr>
          <w:tab/>
        </w:r>
        <w:r w:rsidR="00185A64">
          <w:rPr>
            <w:noProof/>
            <w:webHidden/>
          </w:rPr>
          <w:fldChar w:fldCharType="begin"/>
        </w:r>
        <w:r w:rsidR="00185A64">
          <w:rPr>
            <w:noProof/>
            <w:webHidden/>
          </w:rPr>
          <w:instrText xml:space="preserve"> PAGEREF _Toc268972421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22" w:history="1">
        <w:r w:rsidR="00185A64" w:rsidRPr="003B1FF7">
          <w:rPr>
            <w:rStyle w:val="Hyperlink"/>
            <w:noProof/>
          </w:rPr>
          <w:t>4.5</w:t>
        </w:r>
        <w:r w:rsidR="00185A64">
          <w:rPr>
            <w:noProof/>
            <w:sz w:val="22"/>
            <w:szCs w:val="22"/>
            <w:lang w:eastAsia="en-GB" w:bidi="ar-SA"/>
          </w:rPr>
          <w:tab/>
        </w:r>
        <w:r w:rsidR="00185A64" w:rsidRPr="003B1FF7">
          <w:rPr>
            <w:rStyle w:val="Hyperlink"/>
            <w:noProof/>
          </w:rPr>
          <w:t>Tool Front Ends</w:t>
        </w:r>
        <w:r w:rsidR="00185A64">
          <w:rPr>
            <w:noProof/>
            <w:webHidden/>
          </w:rPr>
          <w:tab/>
        </w:r>
        <w:r w:rsidR="00185A64">
          <w:rPr>
            <w:noProof/>
            <w:webHidden/>
          </w:rPr>
          <w:fldChar w:fldCharType="begin"/>
        </w:r>
        <w:r w:rsidR="00185A64">
          <w:rPr>
            <w:noProof/>
            <w:webHidden/>
          </w:rPr>
          <w:instrText xml:space="preserve"> PAGEREF _Toc268972422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23" w:history="1">
        <w:r w:rsidR="00185A64" w:rsidRPr="003B1FF7">
          <w:rPr>
            <w:rStyle w:val="Hyperlink"/>
            <w:noProof/>
          </w:rPr>
          <w:t>5</w:t>
        </w:r>
        <w:r w:rsidR="00185A64">
          <w:rPr>
            <w:noProof/>
            <w:sz w:val="22"/>
            <w:szCs w:val="22"/>
            <w:lang w:eastAsia="en-GB" w:bidi="ar-SA"/>
          </w:rPr>
          <w:tab/>
        </w:r>
        <w:r w:rsidR="00185A64" w:rsidRPr="003B1FF7">
          <w:rPr>
            <w:rStyle w:val="Hyperlink"/>
            <w:noProof/>
          </w:rPr>
          <w:t>Discussion</w:t>
        </w:r>
        <w:r w:rsidR="00185A64">
          <w:rPr>
            <w:noProof/>
            <w:webHidden/>
          </w:rPr>
          <w:tab/>
        </w:r>
        <w:r w:rsidR="00185A64">
          <w:rPr>
            <w:noProof/>
            <w:webHidden/>
          </w:rPr>
          <w:fldChar w:fldCharType="begin"/>
        </w:r>
        <w:r w:rsidR="00185A64">
          <w:rPr>
            <w:noProof/>
            <w:webHidden/>
          </w:rPr>
          <w:instrText xml:space="preserve"> PAGEREF _Toc268972423 \h </w:instrText>
        </w:r>
        <w:r w:rsidR="00185A64">
          <w:rPr>
            <w:noProof/>
            <w:webHidden/>
          </w:rPr>
        </w:r>
        <w:r w:rsidR="00185A64">
          <w:rPr>
            <w:noProof/>
            <w:webHidden/>
          </w:rPr>
          <w:fldChar w:fldCharType="separate"/>
        </w:r>
        <w:r w:rsidR="00185A64">
          <w:rPr>
            <w:noProof/>
            <w:webHidden/>
          </w:rPr>
          <w:t>15</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24" w:history="1">
        <w:r w:rsidR="00185A64" w:rsidRPr="003B1FF7">
          <w:rPr>
            <w:rStyle w:val="Hyperlink"/>
            <w:noProof/>
          </w:rPr>
          <w:t>6</w:t>
        </w:r>
        <w:r w:rsidR="00185A64">
          <w:rPr>
            <w:noProof/>
            <w:sz w:val="22"/>
            <w:szCs w:val="22"/>
            <w:lang w:eastAsia="en-GB" w:bidi="ar-SA"/>
          </w:rPr>
          <w:tab/>
        </w:r>
        <w:r w:rsidR="00185A64" w:rsidRPr="003B1FF7">
          <w:rPr>
            <w:rStyle w:val="Hyperlink"/>
            <w:noProof/>
          </w:rPr>
          <w:t>Evaluation</w:t>
        </w:r>
        <w:r w:rsidR="00185A64">
          <w:rPr>
            <w:noProof/>
            <w:webHidden/>
          </w:rPr>
          <w:tab/>
        </w:r>
        <w:r w:rsidR="00185A64">
          <w:rPr>
            <w:noProof/>
            <w:webHidden/>
          </w:rPr>
          <w:fldChar w:fldCharType="begin"/>
        </w:r>
        <w:r w:rsidR="00185A64">
          <w:rPr>
            <w:noProof/>
            <w:webHidden/>
          </w:rPr>
          <w:instrText xml:space="preserve"> PAGEREF _Toc268972424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25" w:history="1">
        <w:r w:rsidR="00185A64" w:rsidRPr="003B1FF7">
          <w:rPr>
            <w:rStyle w:val="Hyperlink"/>
            <w:noProof/>
          </w:rPr>
          <w:t>6.1</w:t>
        </w:r>
        <w:r w:rsidR="00185A64">
          <w:rPr>
            <w:noProof/>
            <w:sz w:val="22"/>
            <w:szCs w:val="22"/>
            <w:lang w:eastAsia="en-GB" w:bidi="ar-SA"/>
          </w:rPr>
          <w:tab/>
        </w:r>
        <w:r w:rsidR="00185A64" w:rsidRPr="003B1FF7">
          <w:rPr>
            <w:rStyle w:val="Hyperlink"/>
            <w:noProof/>
          </w:rPr>
          <w:t>Software Verification</w:t>
        </w:r>
        <w:r w:rsidR="00185A64">
          <w:rPr>
            <w:noProof/>
            <w:webHidden/>
          </w:rPr>
          <w:tab/>
        </w:r>
        <w:r w:rsidR="00185A64">
          <w:rPr>
            <w:noProof/>
            <w:webHidden/>
          </w:rPr>
          <w:fldChar w:fldCharType="begin"/>
        </w:r>
        <w:r w:rsidR="00185A64">
          <w:rPr>
            <w:noProof/>
            <w:webHidden/>
          </w:rPr>
          <w:instrText xml:space="preserve"> PAGEREF _Toc268972425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9F7A4B">
      <w:pPr>
        <w:pStyle w:val="TOC2"/>
        <w:tabs>
          <w:tab w:val="left" w:pos="880"/>
          <w:tab w:val="right" w:leader="dot" w:pos="8381"/>
        </w:tabs>
        <w:rPr>
          <w:noProof/>
          <w:sz w:val="22"/>
          <w:szCs w:val="22"/>
          <w:lang w:eastAsia="en-GB" w:bidi="ar-SA"/>
        </w:rPr>
      </w:pPr>
      <w:hyperlink w:anchor="_Toc268972426" w:history="1">
        <w:r w:rsidR="00185A64" w:rsidRPr="003B1FF7">
          <w:rPr>
            <w:rStyle w:val="Hyperlink"/>
            <w:noProof/>
          </w:rPr>
          <w:t>6.2</w:t>
        </w:r>
        <w:r w:rsidR="00185A64">
          <w:rPr>
            <w:noProof/>
            <w:sz w:val="22"/>
            <w:szCs w:val="22"/>
            <w:lang w:eastAsia="en-GB" w:bidi="ar-SA"/>
          </w:rPr>
          <w:tab/>
        </w:r>
        <w:r w:rsidR="00185A64" w:rsidRPr="003B1FF7">
          <w:rPr>
            <w:rStyle w:val="Hyperlink"/>
            <w:noProof/>
          </w:rPr>
          <w:t>Performance Evaluation</w:t>
        </w:r>
        <w:r w:rsidR="00185A64">
          <w:rPr>
            <w:noProof/>
            <w:webHidden/>
          </w:rPr>
          <w:tab/>
        </w:r>
        <w:r w:rsidR="00185A64">
          <w:rPr>
            <w:noProof/>
            <w:webHidden/>
          </w:rPr>
          <w:fldChar w:fldCharType="begin"/>
        </w:r>
        <w:r w:rsidR="00185A64">
          <w:rPr>
            <w:noProof/>
            <w:webHidden/>
          </w:rPr>
          <w:instrText xml:space="preserve"> PAGEREF _Toc268972426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9F7A4B">
      <w:pPr>
        <w:pStyle w:val="TOC1"/>
        <w:tabs>
          <w:tab w:val="left" w:pos="480"/>
          <w:tab w:val="right" w:leader="dot" w:pos="8381"/>
        </w:tabs>
        <w:rPr>
          <w:noProof/>
          <w:sz w:val="22"/>
          <w:szCs w:val="22"/>
          <w:lang w:eastAsia="en-GB" w:bidi="ar-SA"/>
        </w:rPr>
      </w:pPr>
      <w:hyperlink w:anchor="_Toc268972427" w:history="1">
        <w:r w:rsidR="00185A64" w:rsidRPr="003B1FF7">
          <w:rPr>
            <w:rStyle w:val="Hyperlink"/>
            <w:noProof/>
          </w:rPr>
          <w:t>7</w:t>
        </w:r>
        <w:r w:rsidR="00185A64">
          <w:rPr>
            <w:noProof/>
            <w:sz w:val="22"/>
            <w:szCs w:val="22"/>
            <w:lang w:eastAsia="en-GB" w:bidi="ar-SA"/>
          </w:rPr>
          <w:tab/>
        </w:r>
        <w:r w:rsidR="00185A64" w:rsidRPr="003B1FF7">
          <w:rPr>
            <w:rStyle w:val="Hyperlink"/>
            <w:noProof/>
          </w:rPr>
          <w:t>Bibliography</w:t>
        </w:r>
        <w:r w:rsidR="00185A64">
          <w:rPr>
            <w:noProof/>
            <w:webHidden/>
          </w:rPr>
          <w:tab/>
        </w:r>
        <w:r w:rsidR="00185A64">
          <w:rPr>
            <w:noProof/>
            <w:webHidden/>
          </w:rPr>
          <w:fldChar w:fldCharType="begin"/>
        </w:r>
        <w:r w:rsidR="00185A64">
          <w:rPr>
            <w:noProof/>
            <w:webHidden/>
          </w:rPr>
          <w:instrText xml:space="preserve"> PAGEREF _Toc268972427 \h </w:instrText>
        </w:r>
        <w:r w:rsidR="00185A64">
          <w:rPr>
            <w:noProof/>
            <w:webHidden/>
          </w:rPr>
        </w:r>
        <w:r w:rsidR="00185A64">
          <w:rPr>
            <w:noProof/>
            <w:webHidden/>
          </w:rPr>
          <w:fldChar w:fldCharType="separate"/>
        </w:r>
        <w:r w:rsidR="00185A64">
          <w:rPr>
            <w:noProof/>
            <w:webHidden/>
          </w:rPr>
          <w:t>17</w:t>
        </w:r>
        <w:r w:rsidR="00185A64">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8972409"/>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8972410"/>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8972411"/>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8972412"/>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8972413"/>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8972414"/>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8972415"/>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0" w:name="_Toc268972416"/>
      <w:r>
        <w:lastRenderedPageBreak/>
        <w:t>Problem Analysis</w:t>
      </w:r>
      <w:bookmarkEnd w:id="50"/>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1" w:name="_Toc268972417"/>
      <w:r>
        <w:lastRenderedPageBreak/>
        <w:t>System</w:t>
      </w:r>
      <w:bookmarkEnd w:id="51"/>
    </w:p>
    <w:p w:rsidR="0084586B" w:rsidRDefault="00FD0F9A" w:rsidP="00BD69BF">
      <w:r>
        <w:t xml:space="preserve">The TERNIP </w:t>
      </w:r>
      <w:r w:rsidR="00983318">
        <w:t xml:space="preserve">system is implemented in Python in a package called </w:t>
      </w:r>
      <w:r w:rsidR="00A15B53">
        <w:rPr>
          <w:rStyle w:val="Code"/>
        </w:rPr>
        <w:t>ternip</w:t>
      </w:r>
      <w:r w:rsidR="003547F2">
        <w:t xml:space="preserve"> which </w:t>
      </w:r>
      <w:r w:rsidR="00BD69BF">
        <w:t>provides all the functionality. The package is distributed with an installer, documentation on how to use the package, and a series of extra scripts, which demonstrate how to use the API, and also provide a simple driver to tagging functionality.</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2" w:name="_Toc268972418"/>
      <w:r>
        <w:t>Architecture</w:t>
      </w:r>
      <w:bookmarkEnd w:id="52"/>
    </w:p>
    <w:p w:rsidR="00DE3852" w:rsidRPr="00DE3852" w:rsidRDefault="003547F2" w:rsidP="00DE3852">
      <w:r>
        <w:t>Talk about internal format, split up into packages, etc, etc.</w:t>
      </w:r>
    </w:p>
    <w:p w:rsidR="00873E62" w:rsidRDefault="00DE3852" w:rsidP="00873E62">
      <w:pPr>
        <w:pStyle w:val="Heading2"/>
      </w:pPr>
      <w:bookmarkStart w:id="53" w:name="_Toc268972419"/>
      <w:r>
        <w:t>Recognition By Rule</w:t>
      </w:r>
      <w:bookmarkStart w:id="54" w:name="_Toc268972420"/>
      <w:bookmarkEnd w:id="53"/>
    </w:p>
    <w:p w:rsidR="00B50228"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9F7A4B">
        <w:t xml:space="preserve"> </w:t>
      </w:r>
      <w:r>
        <w:t>These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81B4D" w:rsidRDefault="00B81B4D" w:rsidP="00873E62">
      <w:r>
        <w:t>… TALK ABOUT CONVERSION TO NLTK FORMAT</w:t>
      </w:r>
      <w:bookmarkStart w:id="55" w:name="_GoBack"/>
      <w:bookmarkEnd w:id="55"/>
    </w:p>
    <w:p w:rsidR="009F7A4B" w:rsidRDefault="00B50228" w:rsidP="00873E62">
      <w:r>
        <w:t>Rules can also define</w:t>
      </w:r>
      <w:r w:rsidR="00C67270">
        <w:t xml:space="preserve"> a “squelch” option, which alters the rule into one which removes timexes from the matching extent; </w:t>
      </w:r>
      <w:r>
        <w:t>a</w:t>
      </w:r>
      <w:r w:rsidR="00807A7E">
        <w:t>n option which defines</w:t>
      </w:r>
      <w:r w:rsidR="00C67270">
        <w:t xml:space="preserve"> whether or not regular</w:t>
      </w:r>
      <w:r w:rsidR="00807A7E">
        <w:t xml:space="preserve"> expressions are case-sensitive;</w:t>
      </w:r>
      <w:r w:rsidR="00C67270">
        <w:t xml:space="preserve"> and</w:t>
      </w:r>
      <w:r w:rsidR="00807A7E">
        <w:t xml:space="preserve"> an option as to</w:t>
      </w:r>
      <w:r w:rsidR="00C67270">
        <w:t xml:space="preserve"> whether or not number sequences should be marked up in the token string presented to the regular expression.</w:t>
      </w:r>
    </w:p>
    <w:p w:rsidR="009F7A4B" w:rsidRDefault="00C213A4" w:rsidP="00873E62">
      <w:r>
        <w:t>Rule execution by the</w:t>
      </w:r>
      <w:r w:rsidR="009F7A4B">
        <w:t xml:space="preserve"> rule engine </w:t>
      </w:r>
      <w:r>
        <w:t xml:space="preserve">proceeds one sentence at a time, where on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preconditions would always fail on these rails, leaving rules in the circle always stuck in the non-executed state in the rule list), then upon rule loading, these dependencies are checked for.</w:t>
      </w:r>
    </w:p>
    <w:p w:rsidR="009F7A4B" w:rsidRDefault="009F7A4B" w:rsidP="00873E62">
      <w:r>
        <w:t>If the ordering precondition fails, then the rule is marked as not executed</w:t>
      </w:r>
      <w:r w:rsidR="00F70E29">
        <w:t xml:space="preserve">, left in the list for future iterations until its dependencies have been satisfied. Therefore, </w:t>
      </w:r>
      <w:r w:rsidR="00F70E29">
        <w:lastRenderedPageBreak/>
        <w:t>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4F1DC3" w:rsidRDefault="004F1DC3" w:rsidP="00873E62">
      <w:r>
        <w:t>Following the success of all of these preconditions, then a new timex object is created, with the type indicated in the rule definition</w:t>
      </w:r>
    </w:p>
    <w:p w:rsidR="00B81B4D" w:rsidRDefault="00B81B4D" w:rsidP="00873E62">
      <w:r>
        <w:t>…</w:t>
      </w:r>
    </w:p>
    <w:p w:rsidR="00807A7E" w:rsidRDefault="00807A7E" w:rsidP="00807A7E">
      <w:pPr>
        <w:pStyle w:val="Heading3"/>
      </w:pPr>
      <w:r>
        <w:t>Simple Rule Files</w:t>
      </w:r>
    </w:p>
    <w:p w:rsidR="00807A7E" w:rsidRDefault="00807A7E" w:rsidP="00807A7E">
      <w:r>
        <w:t xml:space="preserve">Although rules can be created programmatically using the </w:t>
      </w:r>
      <w:r w:rsidRPr="00807A7E">
        <w:rPr>
          <w:rStyle w:val="Code"/>
        </w:rPr>
        <w:t>ternip.rule_engine.recognition_rule</w:t>
      </w:r>
      <w:r>
        <w:t xml:space="preserve"> class, an easier way to define rules is provided by loading and parsing text files containing rule definitions.</w:t>
      </w:r>
    </w:p>
    <w:p w:rsidR="00807A7E" w:rsidRPr="00807A7E" w:rsidRDefault="00807A7E" w:rsidP="00807A7E">
      <w:r>
        <w:t>….. – include some examples too</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Accepted fields in recognition rule definitions</w:t>
      </w:r>
    </w:p>
    <w:p w:rsidR="00807A7E" w:rsidRDefault="00807A7E" w:rsidP="00807A7E">
      <w:r>
        <w:t>In addition to this format, which allows one rule per file, the concept of “rule blocks” is also present. These blocks allow for an easier expression of ordering</w:t>
      </w:r>
      <w:r w:rsidR="00C213A4">
        <w:t>, and also for execution conditional on failure of all previous rules in the block.</w:t>
      </w:r>
    </w:p>
    <w:p w:rsidR="00C213A4" w:rsidRDefault="00C213A4" w:rsidP="00807A7E">
      <w:r>
        <w:t>…</w:t>
      </w:r>
    </w:p>
    <w:p w:rsidR="004F1DC3" w:rsidRDefault="004F1DC3" w:rsidP="004F1DC3">
      <w:pPr>
        <w:pStyle w:val="Heading3"/>
      </w:pPr>
      <w:r>
        <w:t>Complex Rule Files</w:t>
      </w:r>
    </w:p>
    <w:p w:rsidR="004F1DC3" w:rsidRDefault="004F1DC3" w:rsidP="004F1DC3">
      <w:r>
        <w:t>For rules where the logic can not be captured in the rule format above (for example, more complex guards than regular expressions allow), complex rules are supported</w:t>
      </w:r>
    </w:p>
    <w:p w:rsidR="004F1DC3" w:rsidRPr="004F1DC3" w:rsidRDefault="004F1DC3" w:rsidP="004F1DC3">
      <w:r>
        <w:t>…</w:t>
      </w:r>
    </w:p>
    <w:p w:rsidR="0065512A" w:rsidRDefault="00072F9B" w:rsidP="00873E62">
      <w:pPr>
        <w:pStyle w:val="Heading2"/>
      </w:pPr>
      <w:r>
        <w:t>Normalisation By Rule</w:t>
      </w:r>
      <w:bookmarkEnd w:id="54"/>
    </w:p>
    <w:p w:rsidR="00EE585A" w:rsidRDefault="00072F9B" w:rsidP="00873E62">
      <w:r>
        <w:t>Information about the normalisation engine here</w:t>
      </w:r>
      <w:r w:rsidR="00ED5A76">
        <w:t xml:space="preserve"> – rule format and contract for more complex rules</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rPr>
          <w:smallCaps/>
          <w:spacing w:val="5"/>
          <w:szCs w:val="24"/>
        </w:rPr>
      </w:pPr>
      <w:r>
        <w:t xml:space="preserve">Table </w:t>
      </w:r>
      <w:r>
        <w:fldChar w:fldCharType="begin"/>
      </w:r>
      <w:r>
        <w:instrText xml:space="preserve"> SEQ Table \* ARABIC </w:instrText>
      </w:r>
      <w:r>
        <w:fldChar w:fldCharType="separate"/>
      </w:r>
      <w:r>
        <w:rPr>
          <w:noProof/>
        </w:rPr>
        <w:t>2</w:t>
      </w:r>
      <w:r>
        <w:fldChar w:fldCharType="end"/>
      </w:r>
      <w:r>
        <w:t xml:space="preserve"> -</w:t>
      </w:r>
      <w:r w:rsidRPr="00CB366F">
        <w:t xml:space="preserve"> Accepted fields in </w:t>
      </w:r>
      <w:r>
        <w:t>normalisation</w:t>
      </w:r>
      <w:r w:rsidRPr="00CB366F">
        <w:t xml:space="preserve"> rule definitions</w:t>
      </w:r>
    </w:p>
    <w:p w:rsidR="0065512A" w:rsidRDefault="00072F9B" w:rsidP="00ED5A76">
      <w:pPr>
        <w:pStyle w:val="Heading2"/>
      </w:pPr>
      <w:bookmarkStart w:id="56" w:name="_Toc268972421"/>
      <w:r>
        <w:t>Document Formats</w:t>
      </w:r>
      <w:bookmarkEnd w:id="56"/>
    </w:p>
    <w:p w:rsidR="0065512A" w:rsidRDefault="00072F9B" w:rsidP="0065512A">
      <w:r>
        <w:t>XML formats</w:t>
      </w:r>
      <w:r w:rsidR="0024340D">
        <w:t>, and how most are unsuitable (need to extract a DCT)</w:t>
      </w:r>
    </w:p>
    <w:p w:rsidR="0065512A" w:rsidRDefault="0065512A" w:rsidP="0065512A">
      <w:pPr>
        <w:pStyle w:val="Heading2"/>
      </w:pPr>
      <w:bookmarkStart w:id="57" w:name="_Toc268972422"/>
      <w:r>
        <w:t>Tool Front Ends</w:t>
      </w:r>
      <w:bookmarkEnd w:id="57"/>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58" w:name="_Toc268972423"/>
      <w:r>
        <w:lastRenderedPageBreak/>
        <w:t>Discussion</w:t>
      </w:r>
      <w:bookmarkEnd w:id="58"/>
    </w:p>
    <w:p w:rsidR="001E3E3B" w:rsidRDefault="001E3E3B" w:rsidP="001E3E3B">
      <w:r>
        <w:t>Things to cover include:</w:t>
      </w:r>
    </w:p>
    <w:p w:rsidR="001E3E3B" w:rsidRDefault="001E3E3B" w:rsidP="001E3E3B">
      <w:pPr>
        <w:pStyle w:val="ListParagraph"/>
        <w:numPr>
          <w:ilvl w:val="0"/>
          <w:numId w:val="50"/>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p w:rsidR="00DC59F0" w:rsidRDefault="00DC59F0" w:rsidP="00DC59F0">
      <w:pPr>
        <w:pStyle w:val="Heading1"/>
      </w:pPr>
      <w:bookmarkStart w:id="59" w:name="_Toc268972424"/>
      <w:r>
        <w:lastRenderedPageBreak/>
        <w:t>Evaluation</w:t>
      </w:r>
      <w:bookmarkEnd w:id="59"/>
    </w:p>
    <w:p w:rsidR="00DC59F0" w:rsidRDefault="00DC59F0" w:rsidP="00DC59F0">
      <w:pPr>
        <w:pStyle w:val="Heading2"/>
      </w:pPr>
      <w:bookmarkStart w:id="60" w:name="_Toc268972425"/>
      <w:r>
        <w:t>Software Verification</w:t>
      </w:r>
      <w:bookmarkEnd w:id="60"/>
    </w:p>
    <w:p w:rsidR="00DC59F0" w:rsidRDefault="00DC59F0" w:rsidP="00DC59F0">
      <w:r>
        <w:t>Talk about unit testing</w:t>
      </w:r>
    </w:p>
    <w:p w:rsidR="00DC59F0" w:rsidRDefault="00DC59F0" w:rsidP="00DC59F0">
      <w:pPr>
        <w:pStyle w:val="Heading2"/>
      </w:pPr>
      <w:bookmarkStart w:id="61" w:name="_Toc268972426"/>
      <w:r>
        <w:t>Performance Evaluation</w:t>
      </w:r>
      <w:bookmarkEnd w:id="61"/>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bookmarkStart w:id="62" w:name="_Toc268972427" w:displacedByCustomXml="next"/>
    <w:sdt>
      <w:sdtPr>
        <w:rPr>
          <w:smallCaps w:val="0"/>
          <w:spacing w:val="0"/>
          <w:sz w:val="24"/>
          <w:szCs w:val="20"/>
        </w:rPr>
        <w:id w:val="494819507"/>
        <w:docPartObj>
          <w:docPartGallery w:val="Bibliographies"/>
          <w:docPartUnique/>
        </w:docPartObj>
      </w:sdtPr>
      <w:sdtContent>
        <w:bookmarkStart w:id="63" w:name="_Toc261719408" w:displacedByCustomXml="prev"/>
        <w:bookmarkStart w:id="64" w:name="_Toc261719354" w:displacedByCustomXml="prev"/>
        <w:bookmarkStart w:id="65" w:name="_Toc261719277" w:displacedByCustomXml="prev"/>
        <w:p w:rsidR="00AA1B5D" w:rsidRDefault="00AA1B5D">
          <w:pPr>
            <w:pStyle w:val="Heading1"/>
          </w:pPr>
          <w:r>
            <w:t>Bibliography</w:t>
          </w:r>
          <w:bookmarkEnd w:id="62"/>
          <w:bookmarkEnd w:id="65"/>
          <w:bookmarkEnd w:id="64"/>
          <w:bookmarkEnd w:id="63"/>
        </w:p>
        <w:sdt>
          <w:sdtPr>
            <w:id w:val="111145805"/>
            <w:bibliography/>
          </w:sdt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CA" w:rsidRDefault="003E46CA" w:rsidP="008873C3">
      <w:pPr>
        <w:spacing w:after="0" w:line="240" w:lineRule="auto"/>
      </w:pPr>
      <w:r>
        <w:separator/>
      </w:r>
    </w:p>
    <w:p w:rsidR="003E46CA" w:rsidRDefault="003E46CA"/>
  </w:endnote>
  <w:endnote w:type="continuationSeparator" w:id="0">
    <w:p w:rsidR="003E46CA" w:rsidRDefault="003E46CA" w:rsidP="008873C3">
      <w:pPr>
        <w:spacing w:after="0" w:line="240" w:lineRule="auto"/>
      </w:pPr>
      <w:r>
        <w:continuationSeparator/>
      </w:r>
    </w:p>
    <w:p w:rsidR="003E46CA" w:rsidRDefault="003E4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4B" w:rsidRDefault="009F7A4B"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9F7A4B" w:rsidRDefault="009F7A4B">
        <w:pPr>
          <w:pStyle w:val="Footer"/>
          <w:jc w:val="center"/>
        </w:pPr>
      </w:p>
    </w:sdtContent>
  </w:sdt>
  <w:p w:rsidR="009F7A4B" w:rsidRDefault="009F7A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9F7A4B" w:rsidRDefault="009F7A4B" w:rsidP="000E557A">
        <w:pPr>
          <w:pStyle w:val="Footer"/>
          <w:jc w:val="center"/>
        </w:pPr>
        <w:r>
          <w:fldChar w:fldCharType="begin"/>
        </w:r>
        <w:r>
          <w:instrText xml:space="preserve"> PAGE   \* MERGEFORMAT </w:instrText>
        </w:r>
        <w:r>
          <w:fldChar w:fldCharType="separate"/>
        </w:r>
        <w:r w:rsidR="00807A7E">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9F7A4B" w:rsidRDefault="009F7A4B" w:rsidP="00064F31">
        <w:pPr>
          <w:pStyle w:val="Footer"/>
          <w:jc w:val="center"/>
        </w:pPr>
        <w:r>
          <w:fldChar w:fldCharType="begin"/>
        </w:r>
        <w:r>
          <w:instrText xml:space="preserve"> PAGE   \* MERGEFORMAT </w:instrText>
        </w:r>
        <w:r>
          <w:fldChar w:fldCharType="separate"/>
        </w:r>
        <w:r w:rsidR="00807A7E">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9F7A4B" w:rsidRDefault="009F7A4B" w:rsidP="000E557A">
        <w:pPr>
          <w:pStyle w:val="Footer"/>
          <w:jc w:val="center"/>
        </w:pPr>
        <w:r>
          <w:fldChar w:fldCharType="begin"/>
        </w:r>
        <w:r>
          <w:instrText xml:space="preserve"> PAGE   \* MERGEFORMAT </w:instrText>
        </w:r>
        <w:r>
          <w:fldChar w:fldCharType="separate"/>
        </w:r>
        <w:r w:rsidR="00B81B4D">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9F7A4B" w:rsidRDefault="009F7A4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F7A4B" w:rsidRDefault="009F7A4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9F7A4B" w:rsidRDefault="009F7A4B" w:rsidP="000E557A">
        <w:pPr>
          <w:pStyle w:val="Footer"/>
          <w:jc w:val="center"/>
        </w:pPr>
        <w:r>
          <w:fldChar w:fldCharType="begin"/>
        </w:r>
        <w:r>
          <w:instrText xml:space="preserve"> PAGE   \* MERGEFORMAT </w:instrText>
        </w:r>
        <w:r>
          <w:fldChar w:fldCharType="separate"/>
        </w:r>
        <w:r w:rsidR="00B81B4D">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CA" w:rsidRDefault="003E46CA" w:rsidP="008873C3">
      <w:pPr>
        <w:spacing w:after="0" w:line="240" w:lineRule="auto"/>
      </w:pPr>
      <w:r>
        <w:separator/>
      </w:r>
    </w:p>
    <w:p w:rsidR="003E46CA" w:rsidRDefault="003E46CA"/>
  </w:footnote>
  <w:footnote w:type="continuationSeparator" w:id="0">
    <w:p w:rsidR="003E46CA" w:rsidRDefault="003E46CA" w:rsidP="008873C3">
      <w:pPr>
        <w:spacing w:after="0" w:line="240" w:lineRule="auto"/>
      </w:pPr>
      <w:r>
        <w:continuationSeparator/>
      </w:r>
    </w:p>
    <w:p w:rsidR="003E46CA" w:rsidRDefault="003E46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4B" w:rsidRDefault="009F7A4B"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4B" w:rsidRDefault="009F7A4B"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4B" w:rsidRDefault="009F7A4B"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4B" w:rsidRDefault="009F7A4B"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340D"/>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E46CA"/>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1DC3"/>
    <w:rsid w:val="004F21F8"/>
    <w:rsid w:val="004F2294"/>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73E62"/>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9F7A4B"/>
    <w:rsid w:val="00A00C77"/>
    <w:rsid w:val="00A01396"/>
    <w:rsid w:val="00A0158D"/>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07"/>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0228"/>
    <w:rsid w:val="00B540BE"/>
    <w:rsid w:val="00B54FD7"/>
    <w:rsid w:val="00B56799"/>
    <w:rsid w:val="00B60107"/>
    <w:rsid w:val="00B60526"/>
    <w:rsid w:val="00B614D1"/>
    <w:rsid w:val="00B653E9"/>
    <w:rsid w:val="00B656CB"/>
    <w:rsid w:val="00B66ACC"/>
    <w:rsid w:val="00B66C55"/>
    <w:rsid w:val="00B70E8C"/>
    <w:rsid w:val="00B75C7B"/>
    <w:rsid w:val="00B76582"/>
    <w:rsid w:val="00B81B4D"/>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270"/>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F064E"/>
    <w:rsid w:val="00EF12DC"/>
    <w:rsid w:val="00EF3874"/>
    <w:rsid w:val="00EF38E4"/>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57B56"/>
    <w:rsid w:val="00F6026A"/>
    <w:rsid w:val="00F6249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ceholderText">
    <w:name w:val="Appendices"/>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F5A25-26B7-4253-986E-D5D2BB8E9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24</Pages>
  <Words>6417</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42909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288</cp:revision>
  <cp:lastPrinted>2010-05-13T14:30:00Z</cp:lastPrinted>
  <dcterms:created xsi:type="dcterms:W3CDTF">2009-12-15T14:28:00Z</dcterms:created>
  <dcterms:modified xsi:type="dcterms:W3CDTF">2010-08-17T12:35:00Z</dcterms:modified>
</cp:coreProperties>
</file>