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1C6944" w:rsidRDefault="001C6944" w:rsidP="001C6944">
          <w:r>
            <w:t xml:space="preserve">All sentences or passages quoted in this dissertation from other people's work have been specifically acknowledged by clear cross-referencing to author, </w:t>
          </w:r>
          <w:proofErr w:type="gramStart"/>
          <w:r>
            <w:t>work</w:t>
          </w:r>
          <w:proofErr w:type="gramEnd"/>
          <w:r>
            <w:t xml:space="preserve"> and page(s). Any </w:t>
          </w:r>
          <w:proofErr w:type="gramStart"/>
          <w:r>
            <w:t>illustrations which are not the work of the author of this dissertation</w:t>
          </w:r>
          <w:proofErr w:type="gramEnd"/>
          <w:r>
            <w:t xml:space="preserve"> have been used with the explicit permission of the originator WHERE POSSIBLE and are specifically acknowledged. I understand that failure to do </w:t>
          </w:r>
          <w:proofErr w:type="gramStart"/>
          <w:r>
            <w:t>this</w:t>
          </w:r>
          <w:r w:rsidR="00064F31">
            <w:t xml:space="preserve"> </w:t>
          </w:r>
          <w:r>
            <w:t>amounts</w:t>
          </w:r>
          <w:proofErr w:type="gramEnd"/>
          <w:r>
            <w:t xml:space="preserve">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DC59F0">
          <w:footerReference w:type="even" r:id="rId10"/>
          <w:footerReference w:type="first" r:id="rId11"/>
          <w:pgSz w:w="11907" w:h="16840" w:code="9"/>
          <w:pgMar w:top="1134" w:right="1418" w:bottom="1134" w:left="2098" w:header="709" w:footer="709" w:gutter="0"/>
          <w:cols w:space="708"/>
          <w:docGrid w:linePitch="360"/>
        </w:sectPr>
      </w:pPr>
    </w:p>
    <w:p w:rsidR="00064F31" w:rsidRDefault="00064F31" w:rsidP="00F73B44">
      <w:pPr>
        <w:pStyle w:val="Heading1nonumbering"/>
      </w:pPr>
      <w:bookmarkStart w:id="0" w:name="_Toc261719263"/>
      <w:bookmarkStart w:id="1" w:name="_Toc261719328"/>
      <w:r>
        <w:lastRenderedPageBreak/>
        <w:t>Abstract</w:t>
      </w:r>
    </w:p>
    <w:p w:rsidR="00064F31" w:rsidRDefault="00064F31" w:rsidP="00064F31">
      <w:r>
        <w:t>Abstract goes here</w:t>
      </w:r>
    </w:p>
    <w:p w:rsidR="00064F31" w:rsidRDefault="00064F31" w:rsidP="00064F31">
      <w:pPr>
        <w:sectPr w:rsidR="00064F31" w:rsidSect="00DC59F0">
          <w:headerReference w:type="default" r:id="rId12"/>
          <w:footerReference w:type="default" r:id="rId13"/>
          <w:pgSz w:w="11907" w:h="16840" w:code="9"/>
          <w:pgMar w:top="1134" w:right="1418" w:bottom="1134" w:left="2098" w:header="708" w:footer="708" w:gutter="0"/>
          <w:pgNumType w:fmt="lowerRoman" w:start="1"/>
          <w:cols w:space="708"/>
          <w:docGrid w:linePitch="360"/>
        </w:sectPr>
      </w:pPr>
    </w:p>
    <w:p w:rsidR="00D313AD" w:rsidRDefault="00D313AD" w:rsidP="00F73B44">
      <w:pPr>
        <w:pStyle w:val="Heading1nonumbering"/>
      </w:pPr>
      <w:r>
        <w:lastRenderedPageBreak/>
        <w:t>Table Of Contents</w:t>
      </w:r>
      <w:bookmarkEnd w:id="0"/>
      <w:bookmarkEnd w:id="1"/>
    </w:p>
    <w:p w:rsidR="0013651A"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255304" w:history="1">
        <w:r w:rsidR="0013651A" w:rsidRPr="00D91F5B">
          <w:rPr>
            <w:rStyle w:val="Hyperlink"/>
            <w:noProof/>
            <w:lang w:eastAsia="zh-TW"/>
          </w:rPr>
          <w:t>1</w:t>
        </w:r>
        <w:r w:rsidR="0013651A">
          <w:rPr>
            <w:noProof/>
            <w:sz w:val="22"/>
            <w:szCs w:val="22"/>
            <w:lang w:eastAsia="en-GB" w:bidi="ar-SA"/>
          </w:rPr>
          <w:tab/>
        </w:r>
        <w:r w:rsidR="0013651A" w:rsidRPr="00D91F5B">
          <w:rPr>
            <w:rStyle w:val="Hyperlink"/>
            <w:noProof/>
            <w:lang w:eastAsia="zh-TW"/>
          </w:rPr>
          <w:t>Introduction</w:t>
        </w:r>
        <w:r w:rsidR="0013651A">
          <w:rPr>
            <w:noProof/>
            <w:webHidden/>
          </w:rPr>
          <w:tab/>
        </w:r>
        <w:r w:rsidR="0013651A">
          <w:rPr>
            <w:noProof/>
            <w:webHidden/>
          </w:rPr>
          <w:fldChar w:fldCharType="begin"/>
        </w:r>
        <w:r w:rsidR="0013651A">
          <w:rPr>
            <w:noProof/>
            <w:webHidden/>
          </w:rPr>
          <w:instrText xml:space="preserve"> PAGEREF _Toc270255304 \h </w:instrText>
        </w:r>
        <w:r w:rsidR="0013651A">
          <w:rPr>
            <w:noProof/>
            <w:webHidden/>
          </w:rPr>
        </w:r>
        <w:r w:rsidR="0013651A">
          <w:rPr>
            <w:noProof/>
            <w:webHidden/>
          </w:rPr>
          <w:fldChar w:fldCharType="separate"/>
        </w:r>
        <w:r w:rsidR="0013651A">
          <w:rPr>
            <w:noProof/>
            <w:webHidden/>
          </w:rPr>
          <w:t>1</w:t>
        </w:r>
        <w:r w:rsidR="0013651A">
          <w:rPr>
            <w:noProof/>
            <w:webHidden/>
          </w:rPr>
          <w:fldChar w:fldCharType="end"/>
        </w:r>
      </w:hyperlink>
    </w:p>
    <w:p w:rsidR="0013651A" w:rsidRDefault="00F448C7">
      <w:pPr>
        <w:pStyle w:val="TOC1"/>
        <w:tabs>
          <w:tab w:val="left" w:pos="480"/>
          <w:tab w:val="right" w:leader="dot" w:pos="8381"/>
        </w:tabs>
        <w:rPr>
          <w:noProof/>
          <w:sz w:val="22"/>
          <w:szCs w:val="22"/>
          <w:lang w:eastAsia="en-GB" w:bidi="ar-SA"/>
        </w:rPr>
      </w:pPr>
      <w:hyperlink w:anchor="_Toc270255305" w:history="1">
        <w:r w:rsidR="0013651A" w:rsidRPr="00D91F5B">
          <w:rPr>
            <w:rStyle w:val="Hyperlink"/>
            <w:noProof/>
            <w:lang w:eastAsia="zh-TW"/>
          </w:rPr>
          <w:t>2</w:t>
        </w:r>
        <w:r w:rsidR="0013651A">
          <w:rPr>
            <w:noProof/>
            <w:sz w:val="22"/>
            <w:szCs w:val="22"/>
            <w:lang w:eastAsia="en-GB" w:bidi="ar-SA"/>
          </w:rPr>
          <w:tab/>
        </w:r>
        <w:r w:rsidR="0013651A" w:rsidRPr="00D91F5B">
          <w:rPr>
            <w:rStyle w:val="Hyperlink"/>
            <w:noProof/>
            <w:lang w:eastAsia="zh-TW"/>
          </w:rPr>
          <w:t>Background</w:t>
        </w:r>
        <w:r w:rsidR="0013651A">
          <w:rPr>
            <w:noProof/>
            <w:webHidden/>
          </w:rPr>
          <w:tab/>
        </w:r>
        <w:r w:rsidR="0013651A">
          <w:rPr>
            <w:noProof/>
            <w:webHidden/>
          </w:rPr>
          <w:fldChar w:fldCharType="begin"/>
        </w:r>
        <w:r w:rsidR="0013651A">
          <w:rPr>
            <w:noProof/>
            <w:webHidden/>
          </w:rPr>
          <w:instrText xml:space="preserve"> PAGEREF _Toc270255305 \h </w:instrText>
        </w:r>
        <w:r w:rsidR="0013651A">
          <w:rPr>
            <w:noProof/>
            <w:webHidden/>
          </w:rPr>
        </w:r>
        <w:r w:rsidR="0013651A">
          <w:rPr>
            <w:noProof/>
            <w:webHidden/>
          </w:rPr>
          <w:fldChar w:fldCharType="separate"/>
        </w:r>
        <w:r w:rsidR="0013651A">
          <w:rPr>
            <w:noProof/>
            <w:webHidden/>
          </w:rPr>
          <w:t>2</w:t>
        </w:r>
        <w:r w:rsidR="0013651A">
          <w:rPr>
            <w:noProof/>
            <w:webHidden/>
          </w:rPr>
          <w:fldChar w:fldCharType="end"/>
        </w:r>
      </w:hyperlink>
    </w:p>
    <w:p w:rsidR="0013651A" w:rsidRDefault="00F448C7">
      <w:pPr>
        <w:pStyle w:val="TOC2"/>
        <w:tabs>
          <w:tab w:val="left" w:pos="880"/>
          <w:tab w:val="right" w:leader="dot" w:pos="8381"/>
        </w:tabs>
        <w:rPr>
          <w:noProof/>
          <w:sz w:val="22"/>
          <w:szCs w:val="22"/>
          <w:lang w:eastAsia="en-GB" w:bidi="ar-SA"/>
        </w:rPr>
      </w:pPr>
      <w:hyperlink w:anchor="_Toc270255306" w:history="1">
        <w:r w:rsidR="0013651A" w:rsidRPr="00D91F5B">
          <w:rPr>
            <w:rStyle w:val="Hyperlink"/>
            <w:noProof/>
            <w:lang w:eastAsia="zh-TW"/>
          </w:rPr>
          <w:t>2.1</w:t>
        </w:r>
        <w:r w:rsidR="0013651A">
          <w:rPr>
            <w:noProof/>
            <w:sz w:val="22"/>
            <w:szCs w:val="22"/>
            <w:lang w:eastAsia="en-GB" w:bidi="ar-SA"/>
          </w:rPr>
          <w:tab/>
        </w:r>
        <w:r w:rsidR="0013651A" w:rsidRPr="00D91F5B">
          <w:rPr>
            <w:rStyle w:val="Hyperlink"/>
            <w:noProof/>
            <w:lang w:eastAsia="zh-TW"/>
          </w:rPr>
          <w:t>Temporal Expressions</w:t>
        </w:r>
        <w:r w:rsidR="0013651A">
          <w:rPr>
            <w:noProof/>
            <w:webHidden/>
          </w:rPr>
          <w:tab/>
        </w:r>
        <w:r w:rsidR="0013651A">
          <w:rPr>
            <w:noProof/>
            <w:webHidden/>
          </w:rPr>
          <w:fldChar w:fldCharType="begin"/>
        </w:r>
        <w:r w:rsidR="0013651A">
          <w:rPr>
            <w:noProof/>
            <w:webHidden/>
          </w:rPr>
          <w:instrText xml:space="preserve"> PAGEREF _Toc270255306 \h </w:instrText>
        </w:r>
        <w:r w:rsidR="0013651A">
          <w:rPr>
            <w:noProof/>
            <w:webHidden/>
          </w:rPr>
        </w:r>
        <w:r w:rsidR="0013651A">
          <w:rPr>
            <w:noProof/>
            <w:webHidden/>
          </w:rPr>
          <w:fldChar w:fldCharType="separate"/>
        </w:r>
        <w:r w:rsidR="0013651A">
          <w:rPr>
            <w:noProof/>
            <w:webHidden/>
          </w:rPr>
          <w:t>2</w:t>
        </w:r>
        <w:r w:rsidR="0013651A">
          <w:rPr>
            <w:noProof/>
            <w:webHidden/>
          </w:rPr>
          <w:fldChar w:fldCharType="end"/>
        </w:r>
      </w:hyperlink>
    </w:p>
    <w:p w:rsidR="0013651A" w:rsidRDefault="00F448C7">
      <w:pPr>
        <w:pStyle w:val="TOC2"/>
        <w:tabs>
          <w:tab w:val="left" w:pos="880"/>
          <w:tab w:val="right" w:leader="dot" w:pos="8381"/>
        </w:tabs>
        <w:rPr>
          <w:noProof/>
          <w:sz w:val="22"/>
          <w:szCs w:val="22"/>
          <w:lang w:eastAsia="en-GB" w:bidi="ar-SA"/>
        </w:rPr>
      </w:pPr>
      <w:hyperlink w:anchor="_Toc270255307" w:history="1">
        <w:r w:rsidR="0013651A" w:rsidRPr="00D91F5B">
          <w:rPr>
            <w:rStyle w:val="Hyperlink"/>
            <w:noProof/>
            <w:lang w:eastAsia="zh-TW"/>
          </w:rPr>
          <w:t>2.2</w:t>
        </w:r>
        <w:r w:rsidR="0013651A">
          <w:rPr>
            <w:noProof/>
            <w:sz w:val="22"/>
            <w:szCs w:val="22"/>
            <w:lang w:eastAsia="en-GB" w:bidi="ar-SA"/>
          </w:rPr>
          <w:tab/>
        </w:r>
        <w:r w:rsidR="0013651A" w:rsidRPr="00D91F5B">
          <w:rPr>
            <w:rStyle w:val="Hyperlink"/>
            <w:noProof/>
            <w:lang w:eastAsia="zh-TW"/>
          </w:rPr>
          <w:t>Annotation Standards</w:t>
        </w:r>
        <w:r w:rsidR="0013651A">
          <w:rPr>
            <w:noProof/>
            <w:webHidden/>
          </w:rPr>
          <w:tab/>
        </w:r>
        <w:r w:rsidR="0013651A">
          <w:rPr>
            <w:noProof/>
            <w:webHidden/>
          </w:rPr>
          <w:fldChar w:fldCharType="begin"/>
        </w:r>
        <w:r w:rsidR="0013651A">
          <w:rPr>
            <w:noProof/>
            <w:webHidden/>
          </w:rPr>
          <w:instrText xml:space="preserve"> PAGEREF _Toc270255307 \h </w:instrText>
        </w:r>
        <w:r w:rsidR="0013651A">
          <w:rPr>
            <w:noProof/>
            <w:webHidden/>
          </w:rPr>
        </w:r>
        <w:r w:rsidR="0013651A">
          <w:rPr>
            <w:noProof/>
            <w:webHidden/>
          </w:rPr>
          <w:fldChar w:fldCharType="separate"/>
        </w:r>
        <w:r w:rsidR="0013651A">
          <w:rPr>
            <w:noProof/>
            <w:webHidden/>
          </w:rPr>
          <w:t>3</w:t>
        </w:r>
        <w:r w:rsidR="0013651A">
          <w:rPr>
            <w:noProof/>
            <w:webHidden/>
          </w:rPr>
          <w:fldChar w:fldCharType="end"/>
        </w:r>
      </w:hyperlink>
    </w:p>
    <w:p w:rsidR="0013651A" w:rsidRDefault="00F448C7">
      <w:pPr>
        <w:pStyle w:val="TOC2"/>
        <w:tabs>
          <w:tab w:val="left" w:pos="880"/>
          <w:tab w:val="right" w:leader="dot" w:pos="8381"/>
        </w:tabs>
        <w:rPr>
          <w:noProof/>
          <w:sz w:val="22"/>
          <w:szCs w:val="22"/>
          <w:lang w:eastAsia="en-GB" w:bidi="ar-SA"/>
        </w:rPr>
      </w:pPr>
      <w:hyperlink w:anchor="_Toc270255308" w:history="1">
        <w:r w:rsidR="0013651A" w:rsidRPr="00D91F5B">
          <w:rPr>
            <w:rStyle w:val="Hyperlink"/>
            <w:noProof/>
          </w:rPr>
          <w:t>2.3</w:t>
        </w:r>
        <w:r w:rsidR="0013651A">
          <w:rPr>
            <w:noProof/>
            <w:sz w:val="22"/>
            <w:szCs w:val="22"/>
            <w:lang w:eastAsia="en-GB" w:bidi="ar-SA"/>
          </w:rPr>
          <w:tab/>
        </w:r>
        <w:r w:rsidR="0013651A" w:rsidRPr="00D91F5B">
          <w:rPr>
            <w:rStyle w:val="Hyperlink"/>
            <w:noProof/>
          </w:rPr>
          <w:t>Evaluating Tagger Performance</w:t>
        </w:r>
        <w:r w:rsidR="0013651A">
          <w:rPr>
            <w:noProof/>
            <w:webHidden/>
          </w:rPr>
          <w:tab/>
        </w:r>
        <w:r w:rsidR="0013651A">
          <w:rPr>
            <w:noProof/>
            <w:webHidden/>
          </w:rPr>
          <w:fldChar w:fldCharType="begin"/>
        </w:r>
        <w:r w:rsidR="0013651A">
          <w:rPr>
            <w:noProof/>
            <w:webHidden/>
          </w:rPr>
          <w:instrText xml:space="preserve"> PAGEREF _Toc270255308 \h </w:instrText>
        </w:r>
        <w:r w:rsidR="0013651A">
          <w:rPr>
            <w:noProof/>
            <w:webHidden/>
          </w:rPr>
        </w:r>
        <w:r w:rsidR="0013651A">
          <w:rPr>
            <w:noProof/>
            <w:webHidden/>
          </w:rPr>
          <w:fldChar w:fldCharType="separate"/>
        </w:r>
        <w:r w:rsidR="0013651A">
          <w:rPr>
            <w:noProof/>
            <w:webHidden/>
          </w:rPr>
          <w:t>6</w:t>
        </w:r>
        <w:r w:rsidR="0013651A">
          <w:rPr>
            <w:noProof/>
            <w:webHidden/>
          </w:rPr>
          <w:fldChar w:fldCharType="end"/>
        </w:r>
      </w:hyperlink>
    </w:p>
    <w:p w:rsidR="0013651A" w:rsidRDefault="00F448C7">
      <w:pPr>
        <w:pStyle w:val="TOC2"/>
        <w:tabs>
          <w:tab w:val="left" w:pos="880"/>
          <w:tab w:val="right" w:leader="dot" w:pos="8381"/>
        </w:tabs>
        <w:rPr>
          <w:noProof/>
          <w:sz w:val="22"/>
          <w:szCs w:val="22"/>
          <w:lang w:eastAsia="en-GB" w:bidi="ar-SA"/>
        </w:rPr>
      </w:pPr>
      <w:hyperlink w:anchor="_Toc270255309" w:history="1">
        <w:r w:rsidR="0013651A" w:rsidRPr="00D91F5B">
          <w:rPr>
            <w:rStyle w:val="Hyperlink"/>
            <w:noProof/>
            <w:lang w:eastAsia="zh-TW"/>
          </w:rPr>
          <w:t>2.4</w:t>
        </w:r>
        <w:r w:rsidR="0013651A">
          <w:rPr>
            <w:noProof/>
            <w:sz w:val="22"/>
            <w:szCs w:val="22"/>
            <w:lang w:eastAsia="en-GB" w:bidi="ar-SA"/>
          </w:rPr>
          <w:tab/>
        </w:r>
        <w:r w:rsidR="0013651A" w:rsidRPr="00D91F5B">
          <w:rPr>
            <w:rStyle w:val="Hyperlink"/>
            <w:noProof/>
            <w:lang w:eastAsia="zh-TW"/>
          </w:rPr>
          <w:t>Corpora</w:t>
        </w:r>
        <w:r w:rsidR="0013651A">
          <w:rPr>
            <w:noProof/>
            <w:webHidden/>
          </w:rPr>
          <w:tab/>
        </w:r>
        <w:r w:rsidR="0013651A">
          <w:rPr>
            <w:noProof/>
            <w:webHidden/>
          </w:rPr>
          <w:fldChar w:fldCharType="begin"/>
        </w:r>
        <w:r w:rsidR="0013651A">
          <w:rPr>
            <w:noProof/>
            <w:webHidden/>
          </w:rPr>
          <w:instrText xml:space="preserve"> PAGEREF _Toc270255309 \h </w:instrText>
        </w:r>
        <w:r w:rsidR="0013651A">
          <w:rPr>
            <w:noProof/>
            <w:webHidden/>
          </w:rPr>
        </w:r>
        <w:r w:rsidR="0013651A">
          <w:rPr>
            <w:noProof/>
            <w:webHidden/>
          </w:rPr>
          <w:fldChar w:fldCharType="separate"/>
        </w:r>
        <w:r w:rsidR="0013651A">
          <w:rPr>
            <w:noProof/>
            <w:webHidden/>
          </w:rPr>
          <w:t>6</w:t>
        </w:r>
        <w:r w:rsidR="0013651A">
          <w:rPr>
            <w:noProof/>
            <w:webHidden/>
          </w:rPr>
          <w:fldChar w:fldCharType="end"/>
        </w:r>
      </w:hyperlink>
    </w:p>
    <w:p w:rsidR="0013651A" w:rsidRDefault="00F448C7">
      <w:pPr>
        <w:pStyle w:val="TOC2"/>
        <w:tabs>
          <w:tab w:val="left" w:pos="880"/>
          <w:tab w:val="right" w:leader="dot" w:pos="8381"/>
        </w:tabs>
        <w:rPr>
          <w:noProof/>
          <w:sz w:val="22"/>
          <w:szCs w:val="22"/>
          <w:lang w:eastAsia="en-GB" w:bidi="ar-SA"/>
        </w:rPr>
      </w:pPr>
      <w:hyperlink w:anchor="_Toc270255310" w:history="1">
        <w:r w:rsidR="0013651A" w:rsidRPr="00D91F5B">
          <w:rPr>
            <w:rStyle w:val="Hyperlink"/>
            <w:noProof/>
          </w:rPr>
          <w:t>2.5</w:t>
        </w:r>
        <w:r w:rsidR="0013651A">
          <w:rPr>
            <w:noProof/>
            <w:sz w:val="22"/>
            <w:szCs w:val="22"/>
            <w:lang w:eastAsia="en-GB" w:bidi="ar-SA"/>
          </w:rPr>
          <w:tab/>
        </w:r>
        <w:r w:rsidR="0013651A" w:rsidRPr="00D91F5B">
          <w:rPr>
            <w:rStyle w:val="Hyperlink"/>
            <w:noProof/>
          </w:rPr>
          <w:t>Temporal Expression Taggers</w:t>
        </w:r>
        <w:r w:rsidR="0013651A">
          <w:rPr>
            <w:noProof/>
            <w:webHidden/>
          </w:rPr>
          <w:tab/>
        </w:r>
        <w:r w:rsidR="0013651A">
          <w:rPr>
            <w:noProof/>
            <w:webHidden/>
          </w:rPr>
          <w:fldChar w:fldCharType="begin"/>
        </w:r>
        <w:r w:rsidR="0013651A">
          <w:rPr>
            <w:noProof/>
            <w:webHidden/>
          </w:rPr>
          <w:instrText xml:space="preserve"> PAGEREF _Toc270255310 \h </w:instrText>
        </w:r>
        <w:r w:rsidR="0013651A">
          <w:rPr>
            <w:noProof/>
            <w:webHidden/>
          </w:rPr>
        </w:r>
        <w:r w:rsidR="0013651A">
          <w:rPr>
            <w:noProof/>
            <w:webHidden/>
          </w:rPr>
          <w:fldChar w:fldCharType="separate"/>
        </w:r>
        <w:r w:rsidR="0013651A">
          <w:rPr>
            <w:noProof/>
            <w:webHidden/>
          </w:rPr>
          <w:t>7</w:t>
        </w:r>
        <w:r w:rsidR="0013651A">
          <w:rPr>
            <w:noProof/>
            <w:webHidden/>
          </w:rPr>
          <w:fldChar w:fldCharType="end"/>
        </w:r>
      </w:hyperlink>
    </w:p>
    <w:p w:rsidR="0013651A" w:rsidRDefault="00F448C7">
      <w:pPr>
        <w:pStyle w:val="TOC1"/>
        <w:tabs>
          <w:tab w:val="left" w:pos="480"/>
          <w:tab w:val="right" w:leader="dot" w:pos="8381"/>
        </w:tabs>
        <w:rPr>
          <w:noProof/>
          <w:sz w:val="22"/>
          <w:szCs w:val="22"/>
          <w:lang w:eastAsia="en-GB" w:bidi="ar-SA"/>
        </w:rPr>
      </w:pPr>
      <w:hyperlink w:anchor="_Toc270255311" w:history="1">
        <w:r w:rsidR="0013651A" w:rsidRPr="00D91F5B">
          <w:rPr>
            <w:rStyle w:val="Hyperlink"/>
            <w:noProof/>
          </w:rPr>
          <w:t>3</w:t>
        </w:r>
        <w:r w:rsidR="0013651A">
          <w:rPr>
            <w:noProof/>
            <w:sz w:val="22"/>
            <w:szCs w:val="22"/>
            <w:lang w:eastAsia="en-GB" w:bidi="ar-SA"/>
          </w:rPr>
          <w:tab/>
        </w:r>
        <w:r w:rsidR="0013651A" w:rsidRPr="00D91F5B">
          <w:rPr>
            <w:rStyle w:val="Hyperlink"/>
            <w:noProof/>
          </w:rPr>
          <w:t>Problem Analysis</w:t>
        </w:r>
        <w:r w:rsidR="0013651A">
          <w:rPr>
            <w:noProof/>
            <w:webHidden/>
          </w:rPr>
          <w:tab/>
        </w:r>
        <w:r w:rsidR="0013651A">
          <w:rPr>
            <w:noProof/>
            <w:webHidden/>
          </w:rPr>
          <w:fldChar w:fldCharType="begin"/>
        </w:r>
        <w:r w:rsidR="0013651A">
          <w:rPr>
            <w:noProof/>
            <w:webHidden/>
          </w:rPr>
          <w:instrText xml:space="preserve"> PAGEREF _Toc270255311 \h </w:instrText>
        </w:r>
        <w:r w:rsidR="0013651A">
          <w:rPr>
            <w:noProof/>
            <w:webHidden/>
          </w:rPr>
        </w:r>
        <w:r w:rsidR="0013651A">
          <w:rPr>
            <w:noProof/>
            <w:webHidden/>
          </w:rPr>
          <w:fldChar w:fldCharType="separate"/>
        </w:r>
        <w:r w:rsidR="0013651A">
          <w:rPr>
            <w:noProof/>
            <w:webHidden/>
          </w:rPr>
          <w:t>13</w:t>
        </w:r>
        <w:r w:rsidR="0013651A">
          <w:rPr>
            <w:noProof/>
            <w:webHidden/>
          </w:rPr>
          <w:fldChar w:fldCharType="end"/>
        </w:r>
      </w:hyperlink>
    </w:p>
    <w:p w:rsidR="0013651A" w:rsidRDefault="00F448C7">
      <w:pPr>
        <w:pStyle w:val="TOC1"/>
        <w:tabs>
          <w:tab w:val="left" w:pos="480"/>
          <w:tab w:val="right" w:leader="dot" w:pos="8381"/>
        </w:tabs>
        <w:rPr>
          <w:noProof/>
          <w:sz w:val="22"/>
          <w:szCs w:val="22"/>
          <w:lang w:eastAsia="en-GB" w:bidi="ar-SA"/>
        </w:rPr>
      </w:pPr>
      <w:hyperlink w:anchor="_Toc270255312" w:history="1">
        <w:r w:rsidR="0013651A" w:rsidRPr="00D91F5B">
          <w:rPr>
            <w:rStyle w:val="Hyperlink"/>
            <w:noProof/>
          </w:rPr>
          <w:t>4</w:t>
        </w:r>
        <w:r w:rsidR="0013651A">
          <w:rPr>
            <w:noProof/>
            <w:sz w:val="22"/>
            <w:szCs w:val="22"/>
            <w:lang w:eastAsia="en-GB" w:bidi="ar-SA"/>
          </w:rPr>
          <w:tab/>
        </w:r>
        <w:r w:rsidR="0013651A" w:rsidRPr="00D91F5B">
          <w:rPr>
            <w:rStyle w:val="Hyperlink"/>
            <w:noProof/>
          </w:rPr>
          <w:t>System</w:t>
        </w:r>
        <w:r w:rsidR="0013651A">
          <w:rPr>
            <w:noProof/>
            <w:webHidden/>
          </w:rPr>
          <w:tab/>
        </w:r>
        <w:r w:rsidR="0013651A">
          <w:rPr>
            <w:noProof/>
            <w:webHidden/>
          </w:rPr>
          <w:fldChar w:fldCharType="begin"/>
        </w:r>
        <w:r w:rsidR="0013651A">
          <w:rPr>
            <w:noProof/>
            <w:webHidden/>
          </w:rPr>
          <w:instrText xml:space="preserve"> PAGEREF _Toc270255312 \h </w:instrText>
        </w:r>
        <w:r w:rsidR="0013651A">
          <w:rPr>
            <w:noProof/>
            <w:webHidden/>
          </w:rPr>
        </w:r>
        <w:r w:rsidR="0013651A">
          <w:rPr>
            <w:noProof/>
            <w:webHidden/>
          </w:rPr>
          <w:fldChar w:fldCharType="separate"/>
        </w:r>
        <w:r w:rsidR="0013651A">
          <w:rPr>
            <w:noProof/>
            <w:webHidden/>
          </w:rPr>
          <w:t>14</w:t>
        </w:r>
        <w:r w:rsidR="0013651A">
          <w:rPr>
            <w:noProof/>
            <w:webHidden/>
          </w:rPr>
          <w:fldChar w:fldCharType="end"/>
        </w:r>
      </w:hyperlink>
    </w:p>
    <w:p w:rsidR="0013651A" w:rsidRDefault="00F448C7">
      <w:pPr>
        <w:pStyle w:val="TOC2"/>
        <w:tabs>
          <w:tab w:val="left" w:pos="880"/>
          <w:tab w:val="right" w:leader="dot" w:pos="8381"/>
        </w:tabs>
        <w:rPr>
          <w:noProof/>
          <w:sz w:val="22"/>
          <w:szCs w:val="22"/>
          <w:lang w:eastAsia="en-GB" w:bidi="ar-SA"/>
        </w:rPr>
      </w:pPr>
      <w:hyperlink w:anchor="_Toc270255313" w:history="1">
        <w:r w:rsidR="0013651A" w:rsidRPr="00D91F5B">
          <w:rPr>
            <w:rStyle w:val="Hyperlink"/>
            <w:noProof/>
          </w:rPr>
          <w:t>4.1</w:t>
        </w:r>
        <w:r w:rsidR="0013651A">
          <w:rPr>
            <w:noProof/>
            <w:sz w:val="22"/>
            <w:szCs w:val="22"/>
            <w:lang w:eastAsia="en-GB" w:bidi="ar-SA"/>
          </w:rPr>
          <w:tab/>
        </w:r>
        <w:r w:rsidR="0013651A" w:rsidRPr="00D91F5B">
          <w:rPr>
            <w:rStyle w:val="Hyperlink"/>
            <w:noProof/>
          </w:rPr>
          <w:t>Architecture</w:t>
        </w:r>
        <w:r w:rsidR="0013651A">
          <w:rPr>
            <w:noProof/>
            <w:webHidden/>
          </w:rPr>
          <w:tab/>
        </w:r>
        <w:r w:rsidR="0013651A">
          <w:rPr>
            <w:noProof/>
            <w:webHidden/>
          </w:rPr>
          <w:fldChar w:fldCharType="begin"/>
        </w:r>
        <w:r w:rsidR="0013651A">
          <w:rPr>
            <w:noProof/>
            <w:webHidden/>
          </w:rPr>
          <w:instrText xml:space="preserve"> PAGEREF _Toc270255313 \h </w:instrText>
        </w:r>
        <w:r w:rsidR="0013651A">
          <w:rPr>
            <w:noProof/>
            <w:webHidden/>
          </w:rPr>
        </w:r>
        <w:r w:rsidR="0013651A">
          <w:rPr>
            <w:noProof/>
            <w:webHidden/>
          </w:rPr>
          <w:fldChar w:fldCharType="separate"/>
        </w:r>
        <w:r w:rsidR="0013651A">
          <w:rPr>
            <w:noProof/>
            <w:webHidden/>
          </w:rPr>
          <w:t>14</w:t>
        </w:r>
        <w:r w:rsidR="0013651A">
          <w:rPr>
            <w:noProof/>
            <w:webHidden/>
          </w:rPr>
          <w:fldChar w:fldCharType="end"/>
        </w:r>
      </w:hyperlink>
    </w:p>
    <w:p w:rsidR="0013651A" w:rsidRDefault="00F448C7">
      <w:pPr>
        <w:pStyle w:val="TOC2"/>
        <w:tabs>
          <w:tab w:val="left" w:pos="880"/>
          <w:tab w:val="right" w:leader="dot" w:pos="8381"/>
        </w:tabs>
        <w:rPr>
          <w:noProof/>
          <w:sz w:val="22"/>
          <w:szCs w:val="22"/>
          <w:lang w:eastAsia="en-GB" w:bidi="ar-SA"/>
        </w:rPr>
      </w:pPr>
      <w:hyperlink w:anchor="_Toc270255314" w:history="1">
        <w:r w:rsidR="0013651A" w:rsidRPr="00D91F5B">
          <w:rPr>
            <w:rStyle w:val="Hyperlink"/>
            <w:noProof/>
          </w:rPr>
          <w:t>4.2</w:t>
        </w:r>
        <w:r w:rsidR="0013651A">
          <w:rPr>
            <w:noProof/>
            <w:sz w:val="22"/>
            <w:szCs w:val="22"/>
            <w:lang w:eastAsia="en-GB" w:bidi="ar-SA"/>
          </w:rPr>
          <w:tab/>
        </w:r>
        <w:r w:rsidR="0013651A" w:rsidRPr="00D91F5B">
          <w:rPr>
            <w:rStyle w:val="Hyperlink"/>
            <w:noProof/>
          </w:rPr>
          <w:t>Recognition By Rule</w:t>
        </w:r>
        <w:r w:rsidR="0013651A">
          <w:rPr>
            <w:noProof/>
            <w:webHidden/>
          </w:rPr>
          <w:tab/>
        </w:r>
        <w:r w:rsidR="0013651A">
          <w:rPr>
            <w:noProof/>
            <w:webHidden/>
          </w:rPr>
          <w:fldChar w:fldCharType="begin"/>
        </w:r>
        <w:r w:rsidR="0013651A">
          <w:rPr>
            <w:noProof/>
            <w:webHidden/>
          </w:rPr>
          <w:instrText xml:space="preserve"> PAGEREF _Toc270255314 \h </w:instrText>
        </w:r>
        <w:r w:rsidR="0013651A">
          <w:rPr>
            <w:noProof/>
            <w:webHidden/>
          </w:rPr>
        </w:r>
        <w:r w:rsidR="0013651A">
          <w:rPr>
            <w:noProof/>
            <w:webHidden/>
          </w:rPr>
          <w:fldChar w:fldCharType="separate"/>
        </w:r>
        <w:r w:rsidR="0013651A">
          <w:rPr>
            <w:noProof/>
            <w:webHidden/>
          </w:rPr>
          <w:t>16</w:t>
        </w:r>
        <w:r w:rsidR="0013651A">
          <w:rPr>
            <w:noProof/>
            <w:webHidden/>
          </w:rPr>
          <w:fldChar w:fldCharType="end"/>
        </w:r>
      </w:hyperlink>
    </w:p>
    <w:p w:rsidR="0013651A" w:rsidRDefault="00F448C7">
      <w:pPr>
        <w:pStyle w:val="TOC2"/>
        <w:tabs>
          <w:tab w:val="left" w:pos="880"/>
          <w:tab w:val="right" w:leader="dot" w:pos="8381"/>
        </w:tabs>
        <w:rPr>
          <w:noProof/>
          <w:sz w:val="22"/>
          <w:szCs w:val="22"/>
          <w:lang w:eastAsia="en-GB" w:bidi="ar-SA"/>
        </w:rPr>
      </w:pPr>
      <w:hyperlink w:anchor="_Toc270255315" w:history="1">
        <w:r w:rsidR="0013651A" w:rsidRPr="00D91F5B">
          <w:rPr>
            <w:rStyle w:val="Hyperlink"/>
            <w:noProof/>
          </w:rPr>
          <w:t>4.3</w:t>
        </w:r>
        <w:r w:rsidR="0013651A">
          <w:rPr>
            <w:noProof/>
            <w:sz w:val="22"/>
            <w:szCs w:val="22"/>
            <w:lang w:eastAsia="en-GB" w:bidi="ar-SA"/>
          </w:rPr>
          <w:tab/>
        </w:r>
        <w:r w:rsidR="0013651A" w:rsidRPr="00D91F5B">
          <w:rPr>
            <w:rStyle w:val="Hyperlink"/>
            <w:noProof/>
          </w:rPr>
          <w:t>Normalisation By Rule</w:t>
        </w:r>
        <w:r w:rsidR="0013651A">
          <w:rPr>
            <w:noProof/>
            <w:webHidden/>
          </w:rPr>
          <w:tab/>
        </w:r>
        <w:r w:rsidR="0013651A">
          <w:rPr>
            <w:noProof/>
            <w:webHidden/>
          </w:rPr>
          <w:fldChar w:fldCharType="begin"/>
        </w:r>
        <w:r w:rsidR="0013651A">
          <w:rPr>
            <w:noProof/>
            <w:webHidden/>
          </w:rPr>
          <w:instrText xml:space="preserve"> PAGEREF _Toc270255315 \h </w:instrText>
        </w:r>
        <w:r w:rsidR="0013651A">
          <w:rPr>
            <w:noProof/>
            <w:webHidden/>
          </w:rPr>
        </w:r>
        <w:r w:rsidR="0013651A">
          <w:rPr>
            <w:noProof/>
            <w:webHidden/>
          </w:rPr>
          <w:fldChar w:fldCharType="separate"/>
        </w:r>
        <w:r w:rsidR="0013651A">
          <w:rPr>
            <w:noProof/>
            <w:webHidden/>
          </w:rPr>
          <w:t>22</w:t>
        </w:r>
        <w:r w:rsidR="0013651A">
          <w:rPr>
            <w:noProof/>
            <w:webHidden/>
          </w:rPr>
          <w:fldChar w:fldCharType="end"/>
        </w:r>
      </w:hyperlink>
    </w:p>
    <w:p w:rsidR="0013651A" w:rsidRDefault="00F448C7">
      <w:pPr>
        <w:pStyle w:val="TOC2"/>
        <w:tabs>
          <w:tab w:val="left" w:pos="880"/>
          <w:tab w:val="right" w:leader="dot" w:pos="8381"/>
        </w:tabs>
        <w:rPr>
          <w:noProof/>
          <w:sz w:val="22"/>
          <w:szCs w:val="22"/>
          <w:lang w:eastAsia="en-GB" w:bidi="ar-SA"/>
        </w:rPr>
      </w:pPr>
      <w:hyperlink w:anchor="_Toc270255316" w:history="1">
        <w:r w:rsidR="0013651A" w:rsidRPr="00D91F5B">
          <w:rPr>
            <w:rStyle w:val="Hyperlink"/>
            <w:noProof/>
          </w:rPr>
          <w:t>4.4</w:t>
        </w:r>
        <w:r w:rsidR="0013651A">
          <w:rPr>
            <w:noProof/>
            <w:sz w:val="22"/>
            <w:szCs w:val="22"/>
            <w:lang w:eastAsia="en-GB" w:bidi="ar-SA"/>
          </w:rPr>
          <w:tab/>
        </w:r>
        <w:r w:rsidR="0013651A" w:rsidRPr="00D91F5B">
          <w:rPr>
            <w:rStyle w:val="Hyperlink"/>
            <w:noProof/>
          </w:rPr>
          <w:t>Document Formats</w:t>
        </w:r>
        <w:r w:rsidR="0013651A">
          <w:rPr>
            <w:noProof/>
            <w:webHidden/>
          </w:rPr>
          <w:tab/>
        </w:r>
        <w:r w:rsidR="0013651A">
          <w:rPr>
            <w:noProof/>
            <w:webHidden/>
          </w:rPr>
          <w:fldChar w:fldCharType="begin"/>
        </w:r>
        <w:r w:rsidR="0013651A">
          <w:rPr>
            <w:noProof/>
            <w:webHidden/>
          </w:rPr>
          <w:instrText xml:space="preserve"> PAGEREF _Toc270255316 \h </w:instrText>
        </w:r>
        <w:r w:rsidR="0013651A">
          <w:rPr>
            <w:noProof/>
            <w:webHidden/>
          </w:rPr>
        </w:r>
        <w:r w:rsidR="0013651A">
          <w:rPr>
            <w:noProof/>
            <w:webHidden/>
          </w:rPr>
          <w:fldChar w:fldCharType="separate"/>
        </w:r>
        <w:r w:rsidR="0013651A">
          <w:rPr>
            <w:noProof/>
            <w:webHidden/>
          </w:rPr>
          <w:t>25</w:t>
        </w:r>
        <w:r w:rsidR="0013651A">
          <w:rPr>
            <w:noProof/>
            <w:webHidden/>
          </w:rPr>
          <w:fldChar w:fldCharType="end"/>
        </w:r>
      </w:hyperlink>
    </w:p>
    <w:p w:rsidR="0013651A" w:rsidRDefault="00F448C7">
      <w:pPr>
        <w:pStyle w:val="TOC2"/>
        <w:tabs>
          <w:tab w:val="left" w:pos="880"/>
          <w:tab w:val="right" w:leader="dot" w:pos="8381"/>
        </w:tabs>
        <w:rPr>
          <w:noProof/>
          <w:sz w:val="22"/>
          <w:szCs w:val="22"/>
          <w:lang w:eastAsia="en-GB" w:bidi="ar-SA"/>
        </w:rPr>
      </w:pPr>
      <w:hyperlink w:anchor="_Toc270255317" w:history="1">
        <w:r w:rsidR="0013651A" w:rsidRPr="00D91F5B">
          <w:rPr>
            <w:rStyle w:val="Hyperlink"/>
            <w:noProof/>
          </w:rPr>
          <w:t>4.5</w:t>
        </w:r>
        <w:r w:rsidR="0013651A">
          <w:rPr>
            <w:noProof/>
            <w:sz w:val="22"/>
            <w:szCs w:val="22"/>
            <w:lang w:eastAsia="en-GB" w:bidi="ar-SA"/>
          </w:rPr>
          <w:tab/>
        </w:r>
        <w:r w:rsidR="0013651A" w:rsidRPr="00D91F5B">
          <w:rPr>
            <w:rStyle w:val="Hyperlink"/>
            <w:noProof/>
          </w:rPr>
          <w:t>Tool Front Ends</w:t>
        </w:r>
        <w:r w:rsidR="0013651A">
          <w:rPr>
            <w:noProof/>
            <w:webHidden/>
          </w:rPr>
          <w:tab/>
        </w:r>
        <w:r w:rsidR="0013651A">
          <w:rPr>
            <w:noProof/>
            <w:webHidden/>
          </w:rPr>
          <w:fldChar w:fldCharType="begin"/>
        </w:r>
        <w:r w:rsidR="0013651A">
          <w:rPr>
            <w:noProof/>
            <w:webHidden/>
          </w:rPr>
          <w:instrText xml:space="preserve"> PAGEREF _Toc270255317 \h </w:instrText>
        </w:r>
        <w:r w:rsidR="0013651A">
          <w:rPr>
            <w:noProof/>
            <w:webHidden/>
          </w:rPr>
        </w:r>
        <w:r w:rsidR="0013651A">
          <w:rPr>
            <w:noProof/>
            <w:webHidden/>
          </w:rPr>
          <w:fldChar w:fldCharType="separate"/>
        </w:r>
        <w:r w:rsidR="0013651A">
          <w:rPr>
            <w:noProof/>
            <w:webHidden/>
          </w:rPr>
          <w:t>26</w:t>
        </w:r>
        <w:r w:rsidR="0013651A">
          <w:rPr>
            <w:noProof/>
            <w:webHidden/>
          </w:rPr>
          <w:fldChar w:fldCharType="end"/>
        </w:r>
      </w:hyperlink>
    </w:p>
    <w:p w:rsidR="0013651A" w:rsidRDefault="00F448C7">
      <w:pPr>
        <w:pStyle w:val="TOC1"/>
        <w:tabs>
          <w:tab w:val="left" w:pos="480"/>
          <w:tab w:val="right" w:leader="dot" w:pos="8381"/>
        </w:tabs>
        <w:rPr>
          <w:noProof/>
          <w:sz w:val="22"/>
          <w:szCs w:val="22"/>
          <w:lang w:eastAsia="en-GB" w:bidi="ar-SA"/>
        </w:rPr>
      </w:pPr>
      <w:hyperlink w:anchor="_Toc270255318" w:history="1">
        <w:r w:rsidR="0013651A" w:rsidRPr="00D91F5B">
          <w:rPr>
            <w:rStyle w:val="Hyperlink"/>
            <w:noProof/>
          </w:rPr>
          <w:t>5</w:t>
        </w:r>
        <w:r w:rsidR="0013651A">
          <w:rPr>
            <w:noProof/>
            <w:sz w:val="22"/>
            <w:szCs w:val="22"/>
            <w:lang w:eastAsia="en-GB" w:bidi="ar-SA"/>
          </w:rPr>
          <w:tab/>
        </w:r>
        <w:r w:rsidR="0013651A" w:rsidRPr="00D91F5B">
          <w:rPr>
            <w:rStyle w:val="Hyperlink"/>
            <w:noProof/>
          </w:rPr>
          <w:t>Evaluation</w:t>
        </w:r>
        <w:r w:rsidR="0013651A">
          <w:rPr>
            <w:noProof/>
            <w:webHidden/>
          </w:rPr>
          <w:tab/>
        </w:r>
        <w:r w:rsidR="0013651A">
          <w:rPr>
            <w:noProof/>
            <w:webHidden/>
          </w:rPr>
          <w:fldChar w:fldCharType="begin"/>
        </w:r>
        <w:r w:rsidR="0013651A">
          <w:rPr>
            <w:noProof/>
            <w:webHidden/>
          </w:rPr>
          <w:instrText xml:space="preserve"> PAGEREF _Toc270255318 \h </w:instrText>
        </w:r>
        <w:r w:rsidR="0013651A">
          <w:rPr>
            <w:noProof/>
            <w:webHidden/>
          </w:rPr>
        </w:r>
        <w:r w:rsidR="0013651A">
          <w:rPr>
            <w:noProof/>
            <w:webHidden/>
          </w:rPr>
          <w:fldChar w:fldCharType="separate"/>
        </w:r>
        <w:r w:rsidR="0013651A">
          <w:rPr>
            <w:noProof/>
            <w:webHidden/>
          </w:rPr>
          <w:t>27</w:t>
        </w:r>
        <w:r w:rsidR="0013651A">
          <w:rPr>
            <w:noProof/>
            <w:webHidden/>
          </w:rPr>
          <w:fldChar w:fldCharType="end"/>
        </w:r>
      </w:hyperlink>
    </w:p>
    <w:p w:rsidR="0013651A" w:rsidRDefault="00F448C7">
      <w:pPr>
        <w:pStyle w:val="TOC2"/>
        <w:tabs>
          <w:tab w:val="left" w:pos="880"/>
          <w:tab w:val="right" w:leader="dot" w:pos="8381"/>
        </w:tabs>
        <w:rPr>
          <w:noProof/>
          <w:sz w:val="22"/>
          <w:szCs w:val="22"/>
          <w:lang w:eastAsia="en-GB" w:bidi="ar-SA"/>
        </w:rPr>
      </w:pPr>
      <w:hyperlink w:anchor="_Toc270255319" w:history="1">
        <w:r w:rsidR="0013651A" w:rsidRPr="00D91F5B">
          <w:rPr>
            <w:rStyle w:val="Hyperlink"/>
            <w:noProof/>
          </w:rPr>
          <w:t>5.1</w:t>
        </w:r>
        <w:r w:rsidR="0013651A">
          <w:rPr>
            <w:noProof/>
            <w:sz w:val="22"/>
            <w:szCs w:val="22"/>
            <w:lang w:eastAsia="en-GB" w:bidi="ar-SA"/>
          </w:rPr>
          <w:tab/>
        </w:r>
        <w:r w:rsidR="0013651A" w:rsidRPr="00D91F5B">
          <w:rPr>
            <w:rStyle w:val="Hyperlink"/>
            <w:noProof/>
          </w:rPr>
          <w:t>Software Verification</w:t>
        </w:r>
        <w:r w:rsidR="0013651A">
          <w:rPr>
            <w:noProof/>
            <w:webHidden/>
          </w:rPr>
          <w:tab/>
        </w:r>
        <w:r w:rsidR="0013651A">
          <w:rPr>
            <w:noProof/>
            <w:webHidden/>
          </w:rPr>
          <w:fldChar w:fldCharType="begin"/>
        </w:r>
        <w:r w:rsidR="0013651A">
          <w:rPr>
            <w:noProof/>
            <w:webHidden/>
          </w:rPr>
          <w:instrText xml:space="preserve"> PAGEREF _Toc270255319 \h </w:instrText>
        </w:r>
        <w:r w:rsidR="0013651A">
          <w:rPr>
            <w:noProof/>
            <w:webHidden/>
          </w:rPr>
        </w:r>
        <w:r w:rsidR="0013651A">
          <w:rPr>
            <w:noProof/>
            <w:webHidden/>
          </w:rPr>
          <w:fldChar w:fldCharType="separate"/>
        </w:r>
        <w:r w:rsidR="0013651A">
          <w:rPr>
            <w:noProof/>
            <w:webHidden/>
          </w:rPr>
          <w:t>27</w:t>
        </w:r>
        <w:r w:rsidR="0013651A">
          <w:rPr>
            <w:noProof/>
            <w:webHidden/>
          </w:rPr>
          <w:fldChar w:fldCharType="end"/>
        </w:r>
      </w:hyperlink>
    </w:p>
    <w:p w:rsidR="0013651A" w:rsidRDefault="00F448C7">
      <w:pPr>
        <w:pStyle w:val="TOC2"/>
        <w:tabs>
          <w:tab w:val="left" w:pos="880"/>
          <w:tab w:val="right" w:leader="dot" w:pos="8381"/>
        </w:tabs>
        <w:rPr>
          <w:noProof/>
          <w:sz w:val="22"/>
          <w:szCs w:val="22"/>
          <w:lang w:eastAsia="en-GB" w:bidi="ar-SA"/>
        </w:rPr>
      </w:pPr>
      <w:hyperlink w:anchor="_Toc270255320" w:history="1">
        <w:r w:rsidR="0013651A" w:rsidRPr="00D91F5B">
          <w:rPr>
            <w:rStyle w:val="Hyperlink"/>
            <w:noProof/>
          </w:rPr>
          <w:t>5.2</w:t>
        </w:r>
        <w:r w:rsidR="0013651A">
          <w:rPr>
            <w:noProof/>
            <w:sz w:val="22"/>
            <w:szCs w:val="22"/>
            <w:lang w:eastAsia="en-GB" w:bidi="ar-SA"/>
          </w:rPr>
          <w:tab/>
        </w:r>
        <w:r w:rsidR="0013651A" w:rsidRPr="00D91F5B">
          <w:rPr>
            <w:rStyle w:val="Hyperlink"/>
            <w:noProof/>
          </w:rPr>
          <w:t>Performance Evaluation</w:t>
        </w:r>
        <w:r w:rsidR="0013651A">
          <w:rPr>
            <w:noProof/>
            <w:webHidden/>
          </w:rPr>
          <w:tab/>
        </w:r>
        <w:r w:rsidR="0013651A">
          <w:rPr>
            <w:noProof/>
            <w:webHidden/>
          </w:rPr>
          <w:fldChar w:fldCharType="begin"/>
        </w:r>
        <w:r w:rsidR="0013651A">
          <w:rPr>
            <w:noProof/>
            <w:webHidden/>
          </w:rPr>
          <w:instrText xml:space="preserve"> PAGEREF _Toc270255320 \h </w:instrText>
        </w:r>
        <w:r w:rsidR="0013651A">
          <w:rPr>
            <w:noProof/>
            <w:webHidden/>
          </w:rPr>
        </w:r>
        <w:r w:rsidR="0013651A">
          <w:rPr>
            <w:noProof/>
            <w:webHidden/>
          </w:rPr>
          <w:fldChar w:fldCharType="separate"/>
        </w:r>
        <w:r w:rsidR="0013651A">
          <w:rPr>
            <w:noProof/>
            <w:webHidden/>
          </w:rPr>
          <w:t>27</w:t>
        </w:r>
        <w:r w:rsidR="0013651A">
          <w:rPr>
            <w:noProof/>
            <w:webHidden/>
          </w:rPr>
          <w:fldChar w:fldCharType="end"/>
        </w:r>
      </w:hyperlink>
    </w:p>
    <w:p w:rsidR="0013651A" w:rsidRDefault="00F448C7">
      <w:pPr>
        <w:pStyle w:val="TOC1"/>
        <w:tabs>
          <w:tab w:val="left" w:pos="480"/>
          <w:tab w:val="right" w:leader="dot" w:pos="8381"/>
        </w:tabs>
        <w:rPr>
          <w:noProof/>
          <w:sz w:val="22"/>
          <w:szCs w:val="22"/>
          <w:lang w:eastAsia="en-GB" w:bidi="ar-SA"/>
        </w:rPr>
      </w:pPr>
      <w:hyperlink w:anchor="_Toc270255321" w:history="1">
        <w:r w:rsidR="0013651A" w:rsidRPr="00D91F5B">
          <w:rPr>
            <w:rStyle w:val="Hyperlink"/>
            <w:noProof/>
          </w:rPr>
          <w:t>6</w:t>
        </w:r>
        <w:r w:rsidR="0013651A">
          <w:rPr>
            <w:noProof/>
            <w:sz w:val="22"/>
            <w:szCs w:val="22"/>
            <w:lang w:eastAsia="en-GB" w:bidi="ar-SA"/>
          </w:rPr>
          <w:tab/>
        </w:r>
        <w:r w:rsidR="0013651A" w:rsidRPr="00D91F5B">
          <w:rPr>
            <w:rStyle w:val="Hyperlink"/>
            <w:noProof/>
          </w:rPr>
          <w:t>Discussion</w:t>
        </w:r>
        <w:r w:rsidR="0013651A">
          <w:rPr>
            <w:noProof/>
            <w:webHidden/>
          </w:rPr>
          <w:tab/>
        </w:r>
        <w:r w:rsidR="0013651A">
          <w:rPr>
            <w:noProof/>
            <w:webHidden/>
          </w:rPr>
          <w:fldChar w:fldCharType="begin"/>
        </w:r>
        <w:r w:rsidR="0013651A">
          <w:rPr>
            <w:noProof/>
            <w:webHidden/>
          </w:rPr>
          <w:instrText xml:space="preserve"> PAGEREF _Toc270255321 \h </w:instrText>
        </w:r>
        <w:r w:rsidR="0013651A">
          <w:rPr>
            <w:noProof/>
            <w:webHidden/>
          </w:rPr>
        </w:r>
        <w:r w:rsidR="0013651A">
          <w:rPr>
            <w:noProof/>
            <w:webHidden/>
          </w:rPr>
          <w:fldChar w:fldCharType="separate"/>
        </w:r>
        <w:r w:rsidR="0013651A">
          <w:rPr>
            <w:noProof/>
            <w:webHidden/>
          </w:rPr>
          <w:t>28</w:t>
        </w:r>
        <w:r w:rsidR="0013651A">
          <w:rPr>
            <w:noProof/>
            <w:webHidden/>
          </w:rPr>
          <w:fldChar w:fldCharType="end"/>
        </w:r>
      </w:hyperlink>
    </w:p>
    <w:p w:rsidR="0013651A" w:rsidRDefault="00F448C7">
      <w:pPr>
        <w:pStyle w:val="TOC1"/>
        <w:tabs>
          <w:tab w:val="left" w:pos="480"/>
          <w:tab w:val="right" w:leader="dot" w:pos="8381"/>
        </w:tabs>
        <w:rPr>
          <w:noProof/>
          <w:sz w:val="22"/>
          <w:szCs w:val="22"/>
          <w:lang w:eastAsia="en-GB" w:bidi="ar-SA"/>
        </w:rPr>
      </w:pPr>
      <w:hyperlink w:anchor="_Toc270255322" w:history="1">
        <w:r w:rsidR="0013651A" w:rsidRPr="00D91F5B">
          <w:rPr>
            <w:rStyle w:val="Hyperlink"/>
            <w:noProof/>
          </w:rPr>
          <w:t>7</w:t>
        </w:r>
        <w:r w:rsidR="0013651A">
          <w:rPr>
            <w:noProof/>
            <w:sz w:val="22"/>
            <w:szCs w:val="22"/>
            <w:lang w:eastAsia="en-GB" w:bidi="ar-SA"/>
          </w:rPr>
          <w:tab/>
        </w:r>
        <w:r w:rsidR="0013651A" w:rsidRPr="00D91F5B">
          <w:rPr>
            <w:rStyle w:val="Hyperlink"/>
            <w:noProof/>
          </w:rPr>
          <w:t>Bibliography</w:t>
        </w:r>
        <w:r w:rsidR="0013651A">
          <w:rPr>
            <w:noProof/>
            <w:webHidden/>
          </w:rPr>
          <w:tab/>
        </w:r>
        <w:r w:rsidR="0013651A">
          <w:rPr>
            <w:noProof/>
            <w:webHidden/>
          </w:rPr>
          <w:fldChar w:fldCharType="begin"/>
        </w:r>
        <w:r w:rsidR="0013651A">
          <w:rPr>
            <w:noProof/>
            <w:webHidden/>
          </w:rPr>
          <w:instrText xml:space="preserve"> PAGEREF _Toc270255322 \h </w:instrText>
        </w:r>
        <w:r w:rsidR="0013651A">
          <w:rPr>
            <w:noProof/>
            <w:webHidden/>
          </w:rPr>
        </w:r>
        <w:r w:rsidR="0013651A">
          <w:rPr>
            <w:noProof/>
            <w:webHidden/>
          </w:rPr>
          <w:fldChar w:fldCharType="separate"/>
        </w:r>
        <w:r w:rsidR="0013651A">
          <w:rPr>
            <w:noProof/>
            <w:webHidden/>
          </w:rPr>
          <w:t>29</w:t>
        </w:r>
        <w:r w:rsidR="0013651A">
          <w:rPr>
            <w:noProof/>
            <w:webHidden/>
          </w:rPr>
          <w:fldChar w:fldCharType="end"/>
        </w:r>
      </w:hyperlink>
    </w:p>
    <w:p w:rsidR="00FD048A" w:rsidRDefault="00B225E2">
      <w:r>
        <w:fldChar w:fldCharType="end"/>
      </w:r>
    </w:p>
    <w:p w:rsidR="000E557A" w:rsidRDefault="000E557A">
      <w:pPr>
        <w:sectPr w:rsidR="000E557A" w:rsidSect="00DC59F0">
          <w:headerReference w:type="even" r:id="rId14"/>
          <w:footerReference w:type="even" r:id="rId15"/>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70255304"/>
      <w:r>
        <w:rPr>
          <w:lang w:eastAsia="zh-TW"/>
        </w:rPr>
        <w:lastRenderedPageBreak/>
        <w:t>Introduction</w:t>
      </w:r>
      <w:bookmarkEnd w:id="2"/>
      <w:bookmarkEnd w:id="3"/>
      <w:bookmarkEnd w:id="4"/>
      <w:bookmarkEnd w:id="5"/>
    </w:p>
    <w:p w:rsidR="00DC59F0" w:rsidRDefault="00DC59F0" w:rsidP="005717E8">
      <w:pPr>
        <w:rPr>
          <w:lang w:eastAsia="zh-TW"/>
        </w:rPr>
      </w:pPr>
      <w:r>
        <w:rPr>
          <w:lang w:eastAsia="zh-TW"/>
        </w:rPr>
        <w:t>Introduction to this dissertation</w:t>
      </w:r>
    </w:p>
    <w:p w:rsidR="00170962" w:rsidRDefault="00170962" w:rsidP="005717E8">
      <w:pPr>
        <w:rPr>
          <w:lang w:eastAsia="zh-TW"/>
        </w:rPr>
        <w:sectPr w:rsidR="00170962" w:rsidSect="00DC59F0">
          <w:headerReference w:type="default" r:id="rId16"/>
          <w:footerReference w:type="default" r:id="rId17"/>
          <w:footerReference w:type="first" r:id="rId18"/>
          <w:pgSz w:w="11907" w:h="16840" w:code="9"/>
          <w:pgMar w:top="1134" w:right="1418" w:bottom="1134" w:left="2098"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70255305"/>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70255306"/>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13651A">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w:t>
      </w:r>
      <w:proofErr w:type="gramStart"/>
      <w:r>
        <w:rPr>
          <w:lang w:eastAsia="zh-TW"/>
        </w:rPr>
        <w:t>related,</w:t>
      </w:r>
      <w:proofErr w:type="gramEnd"/>
      <w:r>
        <w:rPr>
          <w:lang w:eastAsia="zh-TW"/>
        </w:rPr>
        <w:t xml:space="preserve">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13651A">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13651A">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13651A">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13651A">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Content>
          <w:r>
            <w:rPr>
              <w:lang w:eastAsia="zh-TW"/>
            </w:rPr>
            <w:fldChar w:fldCharType="begin"/>
          </w:r>
          <w:r>
            <w:rPr>
              <w:lang w:eastAsia="zh-TW"/>
            </w:rPr>
            <w:instrText xml:space="preserve"> CITATION Ver04 \t  \l 2057  </w:instrText>
          </w:r>
          <w:r>
            <w:rPr>
              <w:lang w:eastAsia="zh-TW"/>
            </w:rPr>
            <w:fldChar w:fldCharType="separate"/>
          </w:r>
          <w:r w:rsidR="0013651A">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70255307"/>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13651A">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13651A">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13651A">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13651A">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13651A">
        <w:t xml:space="preserve">Sample </w:t>
      </w:r>
      <w:r w:rsidR="0013651A">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1A6585">
      <w:pPr>
        <w:keepNext/>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 xml:space="preserve">TIMEX3 </w:t>
      </w:r>
      <w:proofErr w:type="spellStart"/>
      <w:r w:rsidRPr="005A6E5F">
        <w:rPr>
          <w:rFonts w:ascii="Consolas" w:eastAsia="Times New Roman" w:hAnsi="Consolas" w:cs="Consolas"/>
          <w:color w:val="990000"/>
          <w:sz w:val="20"/>
          <w:lang w:eastAsia="en-GB" w:bidi="ar-SA"/>
        </w:rPr>
        <w:t>tid</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functionInDocument</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temporalFunction</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1" w:name="_Ref270080665"/>
      <w:bookmarkStart w:id="22" w:name="_Ref270080661"/>
      <w:r>
        <w:t xml:space="preserve">Sample </w:t>
      </w:r>
      <w:r>
        <w:fldChar w:fldCharType="begin"/>
      </w:r>
      <w:r>
        <w:instrText xml:space="preserve"> SEQ Sample \* ARABIC </w:instrText>
      </w:r>
      <w:r>
        <w:fldChar w:fldCharType="separate"/>
      </w:r>
      <w:r w:rsidR="00C46885">
        <w:rPr>
          <w:noProof/>
        </w:rPr>
        <w:t>1</w:t>
      </w:r>
      <w:r>
        <w:fldChar w:fldCharType="end"/>
      </w:r>
      <w:bookmarkEnd w:id="21"/>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13651A">
            <w:rPr>
              <w:noProof/>
            </w:rPr>
            <w:t>(Verhagen &amp; Moszkowicz, 2008)</w:t>
          </w:r>
          <w:r>
            <w:fldChar w:fldCharType="end"/>
          </w:r>
        </w:sdtContent>
      </w:sdt>
      <w:bookmarkEnd w:id="22"/>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w:t>
      </w:r>
      <w:proofErr w:type="spellStart"/>
      <w:r w:rsidR="00C50B47">
        <w:rPr>
          <w:lang w:eastAsia="zh-TW"/>
        </w:rPr>
        <w:t>val</w:t>
      </w:r>
      <w:proofErr w:type="spellEnd"/>
      <w:r w:rsidR="00C50B47">
        <w:rPr>
          <w:lang w:eastAsia="zh-TW"/>
        </w:rPr>
        <w:t>’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13651A">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13651A">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13651A">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13651A">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3" w:name="_Ref260235702"/>
      <w:bookmarkStart w:id="24" w:name="_Toc261719268"/>
      <w:bookmarkStart w:id="25" w:name="_Toc261719333"/>
      <w:bookmarkStart w:id="26" w:name="_Toc261719387"/>
      <w:bookmarkStart w:id="27" w:name="_Toc270255308"/>
      <w:r>
        <w:lastRenderedPageBreak/>
        <w:t>Evaluating Tagger Performance</w:t>
      </w:r>
      <w:bookmarkEnd w:id="23"/>
      <w:bookmarkEnd w:id="24"/>
      <w:bookmarkEnd w:id="25"/>
      <w:bookmarkEnd w:id="26"/>
      <w:bookmarkEnd w:id="27"/>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13651A">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13651A">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13651A">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13651A">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1907DB" w:rsidP="00DE7D38">
      <w:pPr>
        <w:rPr>
          <w:lang w:eastAsia="zh-TW"/>
        </w:rPr>
      </w:pPr>
      <w:r>
        <w:rPr>
          <w:lang w:eastAsia="zh-TW"/>
        </w:rPr>
        <w:t>The first</w:t>
      </w:r>
      <w:r w:rsidR="00D60E3C">
        <w:rPr>
          <w:lang w:eastAsia="zh-TW"/>
        </w:rPr>
        <w:t xml:space="preserve"> metric TERN </w:t>
      </w:r>
      <w:proofErr w:type="gramStart"/>
      <w:r w:rsidR="00D60E3C">
        <w:rPr>
          <w:lang w:eastAsia="zh-TW"/>
        </w:rPr>
        <w:t>uses to measure performance</w:t>
      </w:r>
      <w:r>
        <w:rPr>
          <w:lang w:eastAsia="zh-TW"/>
        </w:rPr>
        <w:t xml:space="preserve"> is</w:t>
      </w:r>
      <w:proofErr w:type="gramEnd"/>
      <w:r>
        <w:rPr>
          <w:lang w:eastAsia="zh-TW"/>
        </w:rPr>
        <w:t xml:space="preserve"> that of detection of temporal expressions</w:t>
      </w:r>
      <w:r w:rsidR="00D60E3C">
        <w:rPr>
          <w:lang w:eastAsia="zh-TW"/>
        </w:rPr>
        <w:t>.</w:t>
      </w:r>
      <w:r>
        <w:rPr>
          <w:lang w:eastAsia="zh-TW"/>
        </w:rPr>
        <w:t xml:space="preserve">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Pr>
          <w:lang w:eastAsia="zh-TW"/>
        </w:rPr>
        <w:t xml:space="preserve">This final metric also can be </w:t>
      </w:r>
      <w:r w:rsidR="00FA0803">
        <w:rPr>
          <w:lang w:eastAsia="zh-TW"/>
        </w:rPr>
        <w:t>split</w:t>
      </w:r>
      <w:r>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13651A">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13651A">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13651A">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28" w:name="_Toc261719269"/>
      <w:bookmarkStart w:id="29" w:name="_Toc261719334"/>
      <w:bookmarkStart w:id="30" w:name="_Toc261719388"/>
      <w:bookmarkStart w:id="31" w:name="_Toc270255309"/>
      <w:r>
        <w:rPr>
          <w:lang w:eastAsia="zh-TW"/>
        </w:rPr>
        <w:t>Corpora</w:t>
      </w:r>
      <w:bookmarkEnd w:id="28"/>
      <w:bookmarkEnd w:id="29"/>
      <w:bookmarkEnd w:id="30"/>
      <w:bookmarkEnd w:id="31"/>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13651A">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Content>
          <w:r>
            <w:fldChar w:fldCharType="begin"/>
          </w:r>
          <w:r>
            <w:instrText xml:space="preserve"> CITATION Pus06 \l 2057 </w:instrText>
          </w:r>
          <w:r>
            <w:fldChar w:fldCharType="separate"/>
          </w:r>
          <w:r w:rsidR="0013651A">
            <w:rPr>
              <w:noProof/>
            </w:rPr>
            <w:t>(Pustejovsky, et al., 2006)</w:t>
          </w:r>
          <w:r>
            <w:rPr>
              <w:noProof/>
            </w:rPr>
            <w:fldChar w:fldCharType="end"/>
          </w:r>
        </w:sdtContent>
      </w:sdt>
      <w:r>
        <w:t xml:space="preserve"> is a later corpus that extends the TERN corpus to use the TimeML standard </w:t>
      </w:r>
      <w:sdt>
        <w:sdtPr>
          <w:id w:val="10593656"/>
          <w:citation/>
        </w:sdtPr>
        <w:sdtContent>
          <w:r>
            <w:fldChar w:fldCharType="begin"/>
          </w:r>
          <w:r>
            <w:instrText xml:space="preserve"> CITATION Pus03 \l 2057 </w:instrText>
          </w:r>
          <w:r>
            <w:fldChar w:fldCharType="separate"/>
          </w:r>
          <w:r w:rsidR="0013651A">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13651A">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2" w:name="_Ref260165518"/>
      <w:bookmarkStart w:id="33" w:name="_Ref260233332"/>
      <w:bookmarkStart w:id="34" w:name="_Ref260234853"/>
      <w:bookmarkStart w:id="35" w:name="_Toc261719270"/>
      <w:bookmarkStart w:id="36" w:name="_Toc261719335"/>
      <w:bookmarkStart w:id="37" w:name="_Toc261719389"/>
      <w:bookmarkStart w:id="38" w:name="_Toc270255310"/>
      <w:r>
        <w:t>Temporal Expression</w:t>
      </w:r>
      <w:r w:rsidR="002D7B44">
        <w:t xml:space="preserve"> Taggers</w:t>
      </w:r>
      <w:bookmarkEnd w:id="32"/>
      <w:bookmarkEnd w:id="33"/>
      <w:bookmarkEnd w:id="34"/>
      <w:bookmarkEnd w:id="35"/>
      <w:bookmarkEnd w:id="36"/>
      <w:bookmarkEnd w:id="37"/>
      <w:bookmarkEnd w:id="38"/>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13651A">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13651A">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Content>
          <w:proofErr w:type="gramEnd"/>
          <w:r w:rsidR="00B225E2">
            <w:rPr>
              <w:lang w:eastAsia="zh-TW"/>
            </w:rPr>
            <w:fldChar w:fldCharType="begin"/>
          </w:r>
          <w:r>
            <w:rPr>
              <w:lang w:eastAsia="zh-TW"/>
            </w:rPr>
            <w:instrText xml:space="preserve"> CITATION Ahn \t  \l 2057  </w:instrText>
          </w:r>
          <w:r w:rsidR="00B225E2">
            <w:rPr>
              <w:lang w:eastAsia="zh-TW"/>
            </w:rPr>
            <w:fldChar w:fldCharType="separate"/>
          </w:r>
          <w:r w:rsidR="0013651A">
            <w:rPr>
              <w:noProof/>
              <w:lang w:eastAsia="zh-TW"/>
            </w:rPr>
            <w:t>(Ahn,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13651A">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13651A">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13651A">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39" w:name="_Toc261719336"/>
      <w:bookmarkStart w:id="40" w:name="_Toc261719390"/>
      <w:r>
        <w:rPr>
          <w:lang w:eastAsia="zh-TW"/>
        </w:rPr>
        <w:t>TempE</w:t>
      </w:r>
      <w:r w:rsidR="00AB0368">
        <w:rPr>
          <w:lang w:eastAsia="zh-TW"/>
        </w:rPr>
        <w:t>x</w:t>
      </w:r>
      <w:r>
        <w:rPr>
          <w:lang w:eastAsia="zh-TW"/>
        </w:rPr>
        <w:t xml:space="preserve"> and GUTime</w:t>
      </w:r>
      <w:bookmarkEnd w:id="39"/>
      <w:bookmarkEnd w:id="40"/>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13651A">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13651A">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13651A">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13651A">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1" w:name="_Toc261719337"/>
      <w:bookmarkStart w:id="42" w:name="_Toc261719391"/>
      <w:r>
        <w:t>Chronos</w:t>
      </w:r>
      <w:bookmarkEnd w:id="41"/>
      <w:bookmarkEnd w:id="42"/>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13651A">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13651A">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43" w:name="_Toc261719338"/>
      <w:bookmarkStart w:id="44" w:name="_Toc261719392"/>
      <w:r>
        <w:rPr>
          <w:lang w:eastAsia="zh-TW"/>
        </w:rPr>
        <w:t>DANTE</w:t>
      </w:r>
      <w:bookmarkEnd w:id="43"/>
      <w:bookmarkEnd w:id="44"/>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13651A">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5" w:name="_Toc261719339"/>
      <w:bookmarkStart w:id="46" w:name="_Toc261719393"/>
      <w:r>
        <w:rPr>
          <w:lang w:eastAsia="zh-TW"/>
        </w:rPr>
        <w:t>ATEL</w:t>
      </w:r>
      <w:bookmarkEnd w:id="45"/>
      <w:bookmarkEnd w:id="46"/>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13651A">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7" w:name="_Toc261719340"/>
      <w:bookmarkStart w:id="48" w:name="_Toc261719394"/>
      <w:r>
        <w:rPr>
          <w:lang w:eastAsia="zh-TW"/>
        </w:rPr>
        <w:t>TimexTag</w:t>
      </w:r>
      <w:bookmarkEnd w:id="47"/>
      <w:bookmarkEnd w:id="48"/>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13651A">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49" w:name="_Toc261719341"/>
      <w:bookmarkStart w:id="50" w:name="_Toc261719395"/>
      <w:r>
        <w:rPr>
          <w:lang w:eastAsia="zh-TW"/>
        </w:rPr>
        <w:lastRenderedPageBreak/>
        <w:t>Rule Induction</w:t>
      </w:r>
      <w:bookmarkEnd w:id="49"/>
      <w:bookmarkEnd w:id="50"/>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13651A">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13651A">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DC59F0">
          <w:headerReference w:type="even" r:id="rId19"/>
          <w:footerReference w:type="even" r:id="rId20"/>
          <w:pgSz w:w="11907" w:h="16840" w:code="9"/>
          <w:pgMar w:top="1134" w:right="1418" w:bottom="1701" w:left="2098" w:header="709" w:footer="709" w:gutter="0"/>
          <w:cols w:space="708"/>
          <w:docGrid w:linePitch="360"/>
        </w:sectPr>
      </w:pPr>
    </w:p>
    <w:p w:rsidR="00604FE7" w:rsidRDefault="00604FE7" w:rsidP="0084586B">
      <w:pPr>
        <w:pStyle w:val="Heading1"/>
      </w:pPr>
      <w:bookmarkStart w:id="51" w:name="_Toc270255311"/>
      <w:r>
        <w:lastRenderedPageBreak/>
        <w:t>Problem Analysis</w:t>
      </w:r>
      <w:bookmarkEnd w:id="51"/>
    </w:p>
    <w:p w:rsidR="00604FE7" w:rsidRDefault="00604FE7" w:rsidP="00604FE7">
      <w:r>
        <w:t>…</w:t>
      </w:r>
    </w:p>
    <w:p w:rsidR="00604FE7" w:rsidRDefault="00604FE7" w:rsidP="00604FE7">
      <w:pPr>
        <w:sectPr w:rsidR="00604FE7" w:rsidSect="00DC59F0">
          <w:pgSz w:w="11907" w:h="16840" w:code="9"/>
          <w:pgMar w:top="1134" w:right="1418" w:bottom="1701" w:left="2098" w:header="709" w:footer="709" w:gutter="0"/>
          <w:cols w:space="708"/>
          <w:docGrid w:linePitch="360"/>
        </w:sectPr>
      </w:pPr>
    </w:p>
    <w:p w:rsidR="0084586B" w:rsidRDefault="0084586B" w:rsidP="0084586B">
      <w:pPr>
        <w:pStyle w:val="Heading1"/>
      </w:pPr>
      <w:bookmarkStart w:id="52" w:name="_Toc270255312"/>
      <w:r>
        <w:lastRenderedPageBreak/>
        <w:t>System</w:t>
      </w:r>
      <w:bookmarkEnd w:id="52"/>
    </w:p>
    <w:p w:rsidR="0084586B" w:rsidRDefault="00FD0F9A" w:rsidP="00BD69BF">
      <w:r>
        <w:t xml:space="preserve">The TERNIP </w:t>
      </w:r>
      <w:r w:rsidR="00983318">
        <w:t>system is implemented in Python</w:t>
      </w:r>
      <w:r w:rsidR="00960E3E">
        <w:t xml:space="preserve"> </w:t>
      </w:r>
      <w:sdt>
        <w:sdtPr>
          <w:id w:val="1003099366"/>
          <w:citation/>
        </w:sdtPr>
        <w:sdtContent>
          <w:r w:rsidR="00960E3E">
            <w:fldChar w:fldCharType="begin"/>
          </w:r>
          <w:r w:rsidR="00960E3E">
            <w:instrText xml:space="preserve"> CITATION van95 \l 2057 </w:instrText>
          </w:r>
          <w:r w:rsidR="00960E3E">
            <w:fldChar w:fldCharType="separate"/>
          </w:r>
          <w:r w:rsidR="00960E3E">
            <w:rPr>
              <w:noProof/>
            </w:rPr>
            <w:t>(van Rossum, 1995)</w:t>
          </w:r>
          <w:r w:rsidR="00960E3E">
            <w:fldChar w:fldCharType="end"/>
          </w:r>
        </w:sdtContent>
      </w:sdt>
      <w:r w:rsidR="00960E3E">
        <w:t xml:space="preserve"> as</w:t>
      </w:r>
      <w:r w:rsidR="00983318">
        <w:t xml:space="preserve"> a package called </w:t>
      </w:r>
      <w:r w:rsidR="00FA0803">
        <w:rPr>
          <w:rStyle w:val="Code"/>
        </w:rPr>
        <w:t>ternip</w:t>
      </w:r>
      <w:r w:rsidR="00BD69BF">
        <w:t>. The package is dist</w:t>
      </w:r>
      <w:bookmarkStart w:id="53" w:name="_GoBack"/>
      <w:bookmarkEnd w:id="53"/>
      <w:r w:rsidR="00BD69BF">
        <w:t>ributed with an installer, documentation on how to use the package, and a series of extra scripts</w:t>
      </w:r>
      <w:r w:rsidR="00F62D76">
        <w:t xml:space="preserve"> that</w:t>
      </w:r>
      <w:r w:rsidR="00BD69BF">
        <w:t xml:space="preserve"> demonstrate how to use the API, </w:t>
      </w:r>
      <w:r w:rsidR="00FA0803">
        <w:t>and</w:t>
      </w:r>
      <w:r w:rsidR="00BD69BF">
        <w:t xml:space="preserve"> provide a simple driver to tagging functionality.</w:t>
      </w:r>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Content>
          <w:r>
            <w:fldChar w:fldCharType="begin"/>
          </w:r>
          <w:r>
            <w:instrText xml:space="preserve"> CITATION Fow06 \l 2057 </w:instrText>
          </w:r>
          <w:r>
            <w:fldChar w:fldCharType="separate"/>
          </w:r>
          <w:r w:rsidR="0013651A">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13651A">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7C6F4D" w:rsidRDefault="007C6F4D" w:rsidP="007C6F4D">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p>
    <w:p w:rsidR="003547F2" w:rsidRPr="00A15B53" w:rsidRDefault="003547F2" w:rsidP="00BD69BF">
      <w:pPr>
        <w:rPr>
          <w:rStyle w:val="Code"/>
        </w:rPr>
      </w:pPr>
      <w:r>
        <w:t>Below, we discuss the high-level architecture of the system, followed by the implemented rule-based approach for timex recognition and normalisation and the document format wrappers.</w:t>
      </w:r>
    </w:p>
    <w:p w:rsidR="00DE3852" w:rsidRDefault="00DE3852" w:rsidP="00DE3852">
      <w:pPr>
        <w:pStyle w:val="Heading2"/>
      </w:pPr>
      <w:bookmarkStart w:id="54" w:name="_Toc270255313"/>
      <w:bookmarkStart w:id="55" w:name="_Ref270419873"/>
      <w:r>
        <w:t>Architecture</w:t>
      </w:r>
      <w:bookmarkEnd w:id="54"/>
      <w:bookmarkEnd w:id="55"/>
    </w:p>
    <w:p w:rsidR="00DE3852" w:rsidRDefault="000104F4" w:rsidP="00DE3852">
      <w:r>
        <w:t xml:space="preserve">The </w:t>
      </w:r>
      <w:r w:rsidRPr="000104F4">
        <w:rPr>
          <w:rStyle w:val="Code"/>
        </w:rPr>
        <w:t>ternip</w:t>
      </w:r>
      <w:r>
        <w:t xml:space="preserve"> package comes with two sub</w:t>
      </w:r>
      <w:r w:rsidR="0024712F">
        <w:t>-</w:t>
      </w:r>
      <w:r>
        <w:t xml:space="preserve">packages: </w:t>
      </w:r>
      <w:r w:rsidRPr="000104F4">
        <w:rPr>
          <w:rStyle w:val="Code"/>
        </w:rPr>
        <w:t>rule_engine</w:t>
      </w:r>
      <w:r>
        <w:t xml:space="preserve"> and </w:t>
      </w:r>
      <w:r w:rsidRPr="000104F4">
        <w:rPr>
          <w:rStyle w:val="Code"/>
        </w:rPr>
        <w:t>formats</w:t>
      </w:r>
      <w:r w:rsidR="0024712F" w:rsidRPr="0024712F">
        <w:t>,</w:t>
      </w:r>
      <w:r>
        <w:t xml:space="preserve"> which each contain distinct components of the system. Additionally, the </w:t>
      </w:r>
      <w:r w:rsidRPr="000104F4">
        <w:rPr>
          <w:rStyle w:val="Code"/>
        </w:rPr>
        <w:t>ternip</w:t>
      </w:r>
      <w:r>
        <w:t xml:space="preserve"> package provides two functions: </w:t>
      </w:r>
      <w:proofErr w:type="gramStart"/>
      <w:r w:rsidRPr="000104F4">
        <w:rPr>
          <w:rStyle w:val="Code"/>
        </w:rPr>
        <w:t>normaliser(</w:t>
      </w:r>
      <w:proofErr w:type="gramEnd"/>
      <w:r w:rsidRPr="000104F4">
        <w:rPr>
          <w:rStyle w:val="Code"/>
        </w:rPr>
        <w:t>)</w:t>
      </w:r>
      <w:r>
        <w:t xml:space="preserve"> and </w:t>
      </w:r>
      <w:r w:rsidRPr="000104F4">
        <w:rPr>
          <w:rStyle w:val="Code"/>
        </w:rPr>
        <w:t>recogniser()</w:t>
      </w:r>
      <w:r>
        <w:t xml:space="preserve"> which </w:t>
      </w:r>
      <w:r w:rsidR="00DB00B7">
        <w:t xml:space="preserve">can be used to easily instantiate the “current best” normalisation and recognition components. At present, </w:t>
      </w:r>
      <w:r w:rsidR="0024712F">
        <w:t xml:space="preserve">there is only one implemented module for both, but instantiating the recogniser and normaliser in this way allows </w:t>
      </w:r>
      <w:r w:rsidR="00FA0803">
        <w:t>improved</w:t>
      </w:r>
      <w:r w:rsidR="0024712F">
        <w:t xml:space="preserve"> techniques to be implemented later without any API changes to applications using TERNIP.</w:t>
      </w:r>
    </w:p>
    <w:p w:rsidR="0024712F" w:rsidRDefault="0024712F" w:rsidP="00DE3852">
      <w:r>
        <w:t xml:space="preserve">Also in the </w:t>
      </w:r>
      <w:r w:rsidRPr="0024712F">
        <w:rPr>
          <w:rStyle w:val="Code"/>
        </w:rPr>
        <w:t>ternip</w:t>
      </w:r>
      <w:r>
        <w:t xml:space="preserve"> package is a class, </w:t>
      </w:r>
      <w:proofErr w:type="spellStart"/>
      <w:r w:rsidRPr="0024712F">
        <w:rPr>
          <w:rStyle w:val="Code"/>
        </w:rPr>
        <w:t>ternip.timex</w:t>
      </w:r>
      <w:proofErr w:type="spellEnd"/>
      <w:r>
        <w:t xml:space="preserve">, which allows for abstract representation of the attributes of a time expression. The members of this class are inspired by the </w:t>
      </w:r>
      <w:r w:rsidR="005175C7">
        <w:t xml:space="preserve">TIMEX3 attribute as described in TimeML </w:t>
      </w:r>
      <w:sdt>
        <w:sdtPr>
          <w:id w:val="39170546"/>
          <w:citation/>
        </w:sdtPr>
        <w:sdtContent>
          <w:r w:rsidR="005175C7">
            <w:fldChar w:fldCharType="begin"/>
          </w:r>
          <w:r w:rsidR="005175C7">
            <w:instrText xml:space="preserve"> CITATION Pus03 \l 2057 </w:instrText>
          </w:r>
          <w:r w:rsidR="005175C7">
            <w:fldChar w:fldCharType="separate"/>
          </w:r>
          <w:r w:rsidR="0013651A">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13651A">
        <w:t xml:space="preserve">Table </w:t>
      </w:r>
      <w:r w:rsidR="0013651A">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732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lastRenderedPageBreak/>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13651A">
                  <w:rPr>
                    <w:noProof/>
                  </w:rPr>
                  <w:t>(Ferro, Mani, Sundheim, &amp; Wilson, 2001)</w:t>
                </w:r>
                <w:r>
                  <w:fldChar w:fldCharType="end"/>
                </w:r>
              </w:sdtContent>
            </w:sdt>
            <w:r>
              <w:t>) indicating the temporal value of the annotated expression</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temporal_function</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document_role</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begin_timex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end_timex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non_consuming</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56" w:name="_Ref270079381"/>
      <w:r>
        <w:t xml:space="preserve">Table </w:t>
      </w:r>
      <w:r>
        <w:fldChar w:fldCharType="begin"/>
      </w:r>
      <w:r>
        <w:instrText xml:space="preserve"> SEQ Table \* ARABIC </w:instrText>
      </w:r>
      <w:r>
        <w:fldChar w:fldCharType="separate"/>
      </w:r>
      <w:r w:rsidR="0013651A">
        <w:rPr>
          <w:noProof/>
        </w:rPr>
        <w:t>1</w:t>
      </w:r>
      <w:r>
        <w:fldChar w:fldCharType="end"/>
      </w:r>
      <w:bookmarkEnd w:id="56"/>
      <w:r>
        <w:t xml:space="preserve"> - attributes on the ternip.timex class</w:t>
      </w:r>
    </w:p>
    <w:p w:rsidR="005175C7" w:rsidRDefault="005175C7" w:rsidP="00DE3852">
      <w:r>
        <w:t xml:space="preserve">A support function, </w:t>
      </w:r>
      <w:proofErr w:type="spellStart"/>
      <w:r w:rsidRPr="005175C7">
        <w:rPr>
          <w:rStyle w:val="Code"/>
        </w:rPr>
        <w:t>add_timex_</w:t>
      </w:r>
      <w:proofErr w:type="gramStart"/>
      <w:r w:rsidRPr="005175C7">
        <w:rPr>
          <w:rStyle w:val="Code"/>
        </w:rPr>
        <w:t>ids</w:t>
      </w:r>
      <w:proofErr w:type="spellEnd"/>
      <w:r w:rsidRPr="005175C7">
        <w:rPr>
          <w:rStyle w:val="Code"/>
        </w:rPr>
        <w:t>(</w:t>
      </w:r>
      <w:proofErr w:type="gramEnd"/>
      <w:r w:rsidRPr="005175C7">
        <w:rPr>
          <w:rStyle w:val="Code"/>
        </w:rPr>
        <w:t>timexes)</w:t>
      </w:r>
      <w:r>
        <w:t xml:space="preserve"> is also provided, which annotates the id attributes in a set of timex objects so each timex has a unique identifier.</w:t>
      </w:r>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13651A">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A sample of such a representation is </w:t>
      </w:r>
      <w:r w:rsidR="00717E64">
        <w:t>shown</w:t>
      </w:r>
      <w:r w:rsidR="001A6585">
        <w:t xml:space="preserve"> in </w:t>
      </w:r>
      <w:r w:rsidR="001A6585">
        <w:fldChar w:fldCharType="begin"/>
      </w:r>
      <w:r w:rsidR="001A6585">
        <w:instrText xml:space="preserve"> REF _Ref270080747 \h </w:instrText>
      </w:r>
      <w:r w:rsidR="001A6585">
        <w:fldChar w:fldCharType="separate"/>
      </w:r>
      <w:r w:rsidR="0013651A">
        <w:t xml:space="preserve">Sample </w:t>
      </w:r>
      <w:r w:rsidR="0013651A">
        <w:rPr>
          <w:noProof/>
        </w:rPr>
        <w:t>2</w:t>
      </w:r>
      <w:r w:rsidR="001A6585">
        <w:fldChar w:fldCharType="end"/>
      </w:r>
      <w:r w:rsidR="001A6585">
        <w:t xml:space="preserve">, where a document consisting of a single sentence (“He derided Egypt for signing a peace treaty with Israel in 1979.”) with the penultimate token annotated </w:t>
      </w:r>
      <w:r w:rsidR="001A6585">
        <w:lastRenderedPageBreak/>
        <w:t xml:space="preserve">as a timex. In the case where a timex spans multiple tokens, then the same </w:t>
      </w:r>
      <w:r w:rsidR="008D06F1">
        <w:t xml:space="preserve">timex object will be associated with </w:t>
      </w:r>
      <w:r w:rsidR="00D16204">
        <w:t>every token in the expression.</w:t>
      </w:r>
    </w:p>
    <w:p w:rsidR="001A6585" w:rsidRDefault="001A6585" w:rsidP="001A6585">
      <w:pPr>
        <w:pBdr>
          <w:top w:val="single" w:sz="4" w:space="1" w:color="auto"/>
          <w:left w:val="single" w:sz="4" w:space="4" w:color="auto"/>
          <w:bottom w:val="single" w:sz="4" w:space="1" w:color="auto"/>
          <w:right w:val="single" w:sz="4" w:space="4" w:color="auto"/>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w:t>
      </w:r>
      <w:proofErr w:type="spellStart"/>
      <w:r w:rsidRPr="001A6585">
        <w:rPr>
          <w:rStyle w:val="Code"/>
        </w:rPr>
        <w:t>ternip.timex.time</w:t>
      </w:r>
      <w:r>
        <w:rPr>
          <w:rStyle w:val="Code"/>
        </w:rPr>
        <w:t>x</w:t>
      </w:r>
      <w:proofErr w:type="spellEnd"/>
      <w:r>
        <w:rPr>
          <w:rStyle w:val="Code"/>
        </w:rPr>
        <w:t xml:space="preserve">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57" w:name="_Ref270080747"/>
      <w:r>
        <w:t xml:space="preserve">Sample </w:t>
      </w:r>
      <w:r>
        <w:fldChar w:fldCharType="begin"/>
      </w:r>
      <w:r>
        <w:instrText xml:space="preserve"> SEQ Sample \* ARABIC </w:instrText>
      </w:r>
      <w:r>
        <w:fldChar w:fldCharType="separate"/>
      </w:r>
      <w:r w:rsidR="00C46885">
        <w:rPr>
          <w:noProof/>
        </w:rPr>
        <w:t>2</w:t>
      </w:r>
      <w:r>
        <w:fldChar w:fldCharType="end"/>
      </w:r>
      <w:bookmarkEnd w:id="57"/>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proofErr w:type="spellStart"/>
      <w:r w:rsidR="00FA0803" w:rsidRPr="007F135D">
        <w:rPr>
          <w:rStyle w:val="Code"/>
        </w:rPr>
        <w:t>ternip.format</w:t>
      </w:r>
      <w:proofErr w:type="spellEnd"/>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13651A">
        <w:t>4.4</w:t>
      </w:r>
      <w:r>
        <w:fldChar w:fldCharType="end"/>
      </w:r>
      <w:r w:rsidR="00717E64">
        <w:t>.</w:t>
      </w:r>
    </w:p>
    <w:p w:rsidR="00717E64" w:rsidRDefault="00717E64" w:rsidP="007F135D">
      <w:r>
        <w:t xml:space="preserve">In order to work with this internal format, a series of classes are provided which allows loading documents from disc, presenting them in the internal format,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13651A">
        <w:t>4.4</w:t>
      </w:r>
      <w:r>
        <w:fldChar w:fldCharType="end"/>
      </w:r>
      <w:r>
        <w:t>.</w:t>
      </w:r>
    </w:p>
    <w:p w:rsidR="000150C6" w:rsidRPr="007F135D" w:rsidRDefault="000150C6" w:rsidP="007F135D">
      <w:r>
        <w:t>Once you have used a document class to get at the text in a file, you can then pass the internal format representation to the recogniser and then normaliser. Doing recognition by rule is discussed in section</w:t>
      </w:r>
      <w:r w:rsidR="00364CBA">
        <w:t xml:space="preserve"> </w:t>
      </w:r>
      <w:r w:rsidR="00364CBA">
        <w:fldChar w:fldCharType="begin"/>
      </w:r>
      <w:r w:rsidR="00364CBA">
        <w:instrText xml:space="preserve"> REF _Ref270083073 \r \h </w:instrText>
      </w:r>
      <w:r w:rsidR="00364CBA">
        <w:fldChar w:fldCharType="separate"/>
      </w:r>
      <w:r w:rsidR="0013651A">
        <w:t>4.2</w:t>
      </w:r>
      <w:r w:rsidR="00364CBA">
        <w:fldChar w:fldCharType="end"/>
      </w:r>
      <w:r>
        <w:t>, and</w:t>
      </w:r>
      <w:r w:rsidR="00364CBA">
        <w:t xml:space="preserve"> then normalisation in section </w:t>
      </w:r>
      <w:r w:rsidR="00364CBA">
        <w:fldChar w:fldCharType="begin"/>
      </w:r>
      <w:r w:rsidR="00364CBA">
        <w:instrText xml:space="preserve"> REF _Ref270083084 \r \h </w:instrText>
      </w:r>
      <w:r w:rsidR="00364CBA">
        <w:fldChar w:fldCharType="separate"/>
      </w:r>
      <w:r w:rsidR="0013651A">
        <w:t>4.3</w:t>
      </w:r>
      <w:r w:rsidR="00364CBA">
        <w:fldChar w:fldCharType="end"/>
      </w:r>
      <w:r>
        <w:t>.</w:t>
      </w:r>
    </w:p>
    <w:p w:rsidR="00873E62" w:rsidRDefault="00DE3852" w:rsidP="00873E62">
      <w:pPr>
        <w:pStyle w:val="Heading2"/>
      </w:pPr>
      <w:bookmarkStart w:id="58" w:name="_Ref270083073"/>
      <w:bookmarkStart w:id="59" w:name="_Toc270255314"/>
      <w:r>
        <w:t>Recognition By Rule</w:t>
      </w:r>
      <w:bookmarkEnd w:id="58"/>
      <w:bookmarkEnd w:id="59"/>
    </w:p>
    <w:p w:rsidR="00FA0803" w:rsidRDefault="00927E69" w:rsidP="00873E62">
      <w:r>
        <w:t>The rule engine for recognition in TERNIP works by loading a list of rule objects and then checks for preconditions on the rules, which if passed, leads to the rule marking an extent of text within a sentence with a new timex.</w:t>
      </w:r>
      <w:r w:rsidR="00807A7E">
        <w:t xml:space="preserve"> This is implemented in TERNIP as the </w:t>
      </w:r>
      <w:proofErr w:type="spellStart"/>
      <w:r w:rsidR="00807A7E" w:rsidRPr="00807A7E">
        <w:rPr>
          <w:rStyle w:val="Code"/>
        </w:rPr>
        <w:t>ternip.rule_engine.recognition_rule_engine</w:t>
      </w:r>
      <w:proofErr w:type="spellEnd"/>
      <w:r w:rsidR="00807A7E">
        <w:t xml:space="preserve"> class</w:t>
      </w:r>
      <w:r w:rsidR="00FA0803">
        <w:t>.</w:t>
      </w:r>
    </w:p>
    <w:p w:rsidR="00B50228" w:rsidRDefault="00FA0803" w:rsidP="00873E62">
      <w:r>
        <w:t>Rule</w:t>
      </w:r>
      <w:r w:rsidR="00927E69">
        <w:t xml:space="preserve"> preconditions come in two forms: ordering preconditions and ‘guards’</w:t>
      </w:r>
      <w:r w:rsidR="009F7A4B">
        <w:t>.</w:t>
      </w:r>
      <w:r w:rsidR="00C67270">
        <w:t xml:space="preserve"> Other than the preconditions, a rule for recognition of timexes consists of a ‘matching’ regular expression, where the token </w:t>
      </w:r>
      <w:r w:rsidR="00B50228">
        <w:t>sequence that matches this regular expression</w:t>
      </w:r>
      <w:r w:rsidR="00C67270">
        <w:t xml:space="preserve"> is defined as the extent of this timex</w:t>
      </w:r>
      <w:r w:rsidR="004F1DC3">
        <w:t>, and a type definition, which indicates which type of timex this rule defines</w:t>
      </w:r>
      <w:r w:rsidR="00B50228">
        <w:t>.</w:t>
      </w:r>
    </w:p>
    <w:p w:rsidR="00B66EF4" w:rsidRDefault="00FA0803" w:rsidP="00873E62">
      <w:r>
        <w:t xml:space="preserve">The rule engine passes the sentences one at a time to the rule class in the internal representation, however as regular expressions can only match against strings; this internal form must be converted into a string representation against which the regular expressions can match. </w:t>
      </w:r>
      <w:r w:rsidR="00F9610F">
        <w:t xml:space="preserve">This format extends on the interface given by </w:t>
      </w:r>
      <w:r w:rsidR="00F9610F">
        <w:lastRenderedPageBreak/>
        <w:t xml:space="preserve">the NLTK software </w:t>
      </w:r>
      <w:sdt>
        <w:sdtPr>
          <w:id w:val="384767500"/>
          <w:citation/>
        </w:sdtPr>
        <w:sdtContent>
          <w:r w:rsidR="00F9610F">
            <w:fldChar w:fldCharType="begin"/>
          </w:r>
          <w:r w:rsidR="00F9610F">
            <w:instrText xml:space="preserve"> CITATION Bir09 \l 2057 </w:instrText>
          </w:r>
          <w:r w:rsidR="00F9610F">
            <w:fldChar w:fldCharType="separate"/>
          </w:r>
          <w:r w:rsidR="0013651A">
            <w:rPr>
              <w:noProof/>
            </w:rPr>
            <w:t>(Bird, Klein, &amp; Loper, 2009)</w:t>
          </w:r>
          <w:r w:rsidR="00F9610F">
            <w:fldChar w:fldCharType="end"/>
          </w:r>
        </w:sdtContent>
      </w:sdt>
      <w:r w:rsidR="00F9610F">
        <w:t xml:space="preserve"> in the </w:t>
      </w:r>
      <w:proofErr w:type="spellStart"/>
      <w:r w:rsidR="00F9610F" w:rsidRPr="00F9610F">
        <w:rPr>
          <w:rStyle w:val="Code"/>
        </w:rPr>
        <w:t>nltk.text.TokenSearcher</w:t>
      </w:r>
      <w:proofErr w:type="spellEnd"/>
      <w:r w:rsidR="00F9610F">
        <w:t xml:space="preserve"> </w:t>
      </w:r>
      <w:r w:rsidR="00B66EF4">
        <w:t>class.</w:t>
      </w:r>
    </w:p>
    <w:p w:rsidR="00B66EF4" w:rsidRDefault="00B66EF4" w:rsidP="00873E62">
      <w:r>
        <w:t xml:space="preserve">In this representation, tokens are enclosed in angle brackets to indicate distinct tokens. </w:t>
      </w:r>
      <w:r w:rsidR="00FA0803">
        <w:t>The NLTK implementation, however, loses fidelity as part-of-speech tags and any currently associated timex objects are not included. Currently</w:t>
      </w:r>
      <w:r>
        <w:t xml:space="preserve"> associated timexes are likely to be of limited interest for </w:t>
      </w:r>
      <w:r w:rsidR="00FA0803">
        <w:t>tagging;</w:t>
      </w:r>
      <w:r>
        <w:t xml:space="preserve"> </w:t>
      </w:r>
      <w:r w:rsidR="00FA0803">
        <w:t>however,</w:t>
      </w:r>
      <w:r>
        <w:t xml:space="preserve"> part-of-speech tags are a more interesting feature for determining timex extents and values.</w:t>
      </w:r>
      <w:r w:rsidR="000E433A">
        <w:t xml:space="preserve"> For this reason, the NLTK implementation is extended so that the token is appended with a tilde and then the part-of-speech tag for that token. </w:t>
      </w:r>
      <w:r w:rsidR="00483C3A">
        <w:fldChar w:fldCharType="begin"/>
      </w:r>
      <w:r w:rsidR="00483C3A">
        <w:instrText xml:space="preserve"> REF _Ref270164724 \h </w:instrText>
      </w:r>
      <w:r w:rsidR="00483C3A">
        <w:fldChar w:fldCharType="separate"/>
      </w:r>
      <w:r w:rsidR="0013651A">
        <w:t xml:space="preserve">Sample </w:t>
      </w:r>
      <w:r w:rsidR="0013651A">
        <w:rPr>
          <w:noProof/>
        </w:rPr>
        <w:t>3</w:t>
      </w:r>
      <w:r w:rsidR="00483C3A">
        <w:fldChar w:fldCharType="end"/>
      </w:r>
      <w:r w:rsidR="00483C3A">
        <w:t xml:space="preserve"> shows the result of such a transformation on the sentence illustrated in </w:t>
      </w:r>
      <w:r w:rsidR="00483C3A">
        <w:fldChar w:fldCharType="begin"/>
      </w:r>
      <w:r w:rsidR="00483C3A">
        <w:instrText xml:space="preserve"> REF _Ref270080747 \h </w:instrText>
      </w:r>
      <w:r w:rsidR="00483C3A">
        <w:fldChar w:fldCharType="separate"/>
      </w:r>
      <w:r w:rsidR="0013651A">
        <w:t xml:space="preserve">Sample </w:t>
      </w:r>
      <w:r w:rsidR="0013651A">
        <w:rPr>
          <w:noProof/>
        </w:rPr>
        <w:t>2</w:t>
      </w:r>
      <w:r w:rsidR="00483C3A">
        <w:fldChar w:fldCharType="end"/>
      </w:r>
      <w:r w:rsidR="00483C3A">
        <w:t>.</w:t>
      </w:r>
    </w:p>
    <w:p w:rsidR="000E433A" w:rsidRDefault="000E433A" w:rsidP="000E433A">
      <w:pPr>
        <w:pBdr>
          <w:top w:val="single" w:sz="4" w:space="1" w:color="auto"/>
          <w:left w:val="single" w:sz="4" w:space="4" w:color="auto"/>
          <w:bottom w:val="single" w:sz="4" w:space="1" w:color="auto"/>
          <w:right w:val="single" w:sz="4" w:space="4" w:color="auto"/>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proofErr w:type="gramStart"/>
      <w:r w:rsidRPr="001A6585">
        <w:rPr>
          <w:rStyle w:val="Code"/>
        </w:rPr>
        <w:t>.</w:t>
      </w:r>
      <w:r>
        <w:rPr>
          <w:rStyle w:val="Code"/>
        </w:rPr>
        <w:t>~</w:t>
      </w:r>
      <w:proofErr w:type="gramEnd"/>
      <w:r w:rsidRPr="001A6585">
        <w:rPr>
          <w:rStyle w:val="Code"/>
        </w:rPr>
        <w:t>.</w:t>
      </w:r>
      <w:r>
        <w:rPr>
          <w:rStyle w:val="Code"/>
        </w:rPr>
        <w:t>&gt;</w:t>
      </w:r>
    </w:p>
    <w:p w:rsidR="0084691F" w:rsidRPr="000E433A" w:rsidRDefault="0084691F" w:rsidP="0084691F">
      <w:pPr>
        <w:pStyle w:val="Caption"/>
        <w:rPr>
          <w:rFonts w:ascii="Consolas" w:hAnsi="Consolas"/>
          <w:sz w:val="20"/>
        </w:rPr>
      </w:pPr>
      <w:bookmarkStart w:id="60" w:name="_Ref270164724"/>
      <w:r>
        <w:t xml:space="preserve">Sample </w:t>
      </w:r>
      <w:r>
        <w:fldChar w:fldCharType="begin"/>
      </w:r>
      <w:r>
        <w:instrText xml:space="preserve"> SEQ Sample \* ARABIC </w:instrText>
      </w:r>
      <w:r>
        <w:fldChar w:fldCharType="separate"/>
      </w:r>
      <w:r w:rsidR="00C46885">
        <w:rPr>
          <w:noProof/>
        </w:rPr>
        <w:t>3</w:t>
      </w:r>
      <w:r>
        <w:fldChar w:fldCharType="end"/>
      </w:r>
      <w:bookmarkEnd w:id="60"/>
      <w:r>
        <w:t xml:space="preserve"> - a string representation as used for regular expression matching</w:t>
      </w:r>
    </w:p>
    <w:p w:rsidR="007C7AF5" w:rsidRDefault="00EF415C" w:rsidP="00873E62">
      <w:r>
        <w:t xml:space="preserve">The NLTK implementation also pre-processes regular expressions before </w:t>
      </w:r>
      <w:r w:rsidR="00744A59">
        <w:t>compilation</w:t>
      </w:r>
      <w:r>
        <w:t>. This pre-processing results in cleaner regular expressions,</w:t>
      </w:r>
      <w:r w:rsidR="003050B6">
        <w:t xml:space="preserve"> as</w:t>
      </w:r>
      <w:r>
        <w:t xml:space="preserve"> quantifying </w:t>
      </w:r>
      <w:proofErr w:type="gramStart"/>
      <w:r w:rsidR="003050B6">
        <w:t xml:space="preserve">the </w:t>
      </w:r>
      <w:r w:rsidR="003050B6" w:rsidRPr="003050B6">
        <w:rPr>
          <w:rStyle w:val="Code"/>
        </w:rPr>
        <w:t>.</w:t>
      </w:r>
      <w:proofErr w:type="gramEnd"/>
      <w:r w:rsidR="003050B6">
        <w:t xml:space="preserve"> </w:t>
      </w:r>
      <w:proofErr w:type="gramStart"/>
      <w:r w:rsidR="003050B6">
        <w:t>character</w:t>
      </w:r>
      <w:proofErr w:type="gramEnd"/>
      <w:r w:rsidR="003050B6">
        <w:t xml:space="preserve"> will not result in an expression which matches across tag boundaries</w:t>
      </w:r>
      <w:r>
        <w:t xml:space="preserve">, </w:t>
      </w:r>
      <w:r w:rsidR="003050B6">
        <w:t>i.e</w:t>
      </w:r>
      <w:r>
        <w:t xml:space="preserve">., a regular expression </w:t>
      </w:r>
      <w:r w:rsidRPr="003050B6">
        <w:rPr>
          <w:rStyle w:val="Code"/>
        </w:rPr>
        <w:t>&lt;.*&gt;</w:t>
      </w:r>
      <w:r>
        <w:t xml:space="preserve"> will only match exactly one token, despite the greedy nature of the </w:t>
      </w:r>
      <w:r w:rsidRPr="003050B6">
        <w:rPr>
          <w:rStyle w:val="Code"/>
        </w:rPr>
        <w:t>*</w:t>
      </w:r>
      <w:r w:rsidR="002E3237">
        <w:t xml:space="preserve"> operator.</w:t>
      </w:r>
      <w:r w:rsidR="007C7AF5">
        <w:t xml:space="preserve"> This pre-processing introduces the restriction where expressions cannot match across word boundaries.</w:t>
      </w:r>
    </w:p>
    <w:p w:rsidR="00EF415C" w:rsidRDefault="007C7AF5" w:rsidP="00873E62">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w:t>
      </w:r>
      <w:proofErr w:type="spellStart"/>
      <w:r>
        <w:t>mid day</w:t>
      </w:r>
      <w:proofErr w:type="spellEnd"/>
      <w:r>
        <w:t>” in one rule), due to the way the NLTK treats the token markers.</w:t>
      </w:r>
    </w:p>
    <w:p w:rsidR="00365E73" w:rsidRDefault="00365E73" w:rsidP="00873E62">
      <w:r>
        <w:t xml:space="preserve">This pre-processing of regular expressions also allows </w:t>
      </w:r>
      <w:r w:rsidR="00E87C5D">
        <w:t>for the introduction other conveniences</w:t>
      </w:r>
      <w:r>
        <w:t xml:space="preserve">. </w:t>
      </w:r>
      <w:r w:rsidR="00F970F4">
        <w:t xml:space="preserve">GUTime abstracted out common groups of words that appeared together to allow </w:t>
      </w:r>
      <w:r w:rsidR="00CD2746">
        <w:t>regular expressions to be shorter</w:t>
      </w:r>
      <w:r w:rsidR="00F970F4">
        <w:t xml:space="preserve">. TERNIP retains this functionality by replacing these pre-defined identifiers with some regular expression. These identifiers and their </w:t>
      </w:r>
      <w:r w:rsidR="00CD2746">
        <w:t>description</w:t>
      </w:r>
      <w:r w:rsidR="00F970F4">
        <w:t xml:space="preserve"> are:</w:t>
      </w:r>
    </w:p>
    <w:p w:rsidR="00F970F4" w:rsidRDefault="003F20E2" w:rsidP="00D36E6B">
      <w:pPr>
        <w:pStyle w:val="ListParagraph"/>
        <w:numPr>
          <w:ilvl w:val="0"/>
          <w:numId w:val="6"/>
        </w:numPr>
      </w:pPr>
      <w:r w:rsidRPr="004F4687">
        <w:rPr>
          <w:rStyle w:val="Code"/>
        </w:rPr>
        <w:t>$ORDINAL_WORDS</w:t>
      </w:r>
      <w:r>
        <w:t xml:space="preserve"> – ordinal values in word form (e.g., first, second, </w:t>
      </w:r>
      <w:r w:rsidR="00FA0803">
        <w:t>etc.</w:t>
      </w:r>
      <w:r>
        <w:t>);</w:t>
      </w:r>
    </w:p>
    <w:p w:rsidR="00F970F4" w:rsidRDefault="00F970F4" w:rsidP="00D36E6B">
      <w:pPr>
        <w:pStyle w:val="ListParagraph"/>
        <w:numPr>
          <w:ilvl w:val="0"/>
          <w:numId w:val="6"/>
        </w:numPr>
      </w:pPr>
      <w:r w:rsidRPr="004F4687">
        <w:rPr>
          <w:rStyle w:val="Code"/>
        </w:rPr>
        <w:t>$ORDINAL_NUMS</w:t>
      </w:r>
      <w:r>
        <w:t xml:space="preserve"> </w:t>
      </w:r>
      <w:r w:rsidR="003F20E2">
        <w:t>–</w:t>
      </w:r>
      <w:r>
        <w:t xml:space="preserve"> </w:t>
      </w:r>
      <w:r w:rsidR="003F20E2">
        <w:t xml:space="preserve">ordinal values in number form (e.g., 1st, 2nd, </w:t>
      </w:r>
      <w:r w:rsidR="00FA0803">
        <w:t>etc.</w:t>
      </w:r>
      <w:r w:rsidR="003F20E2">
        <w:t>);</w:t>
      </w:r>
    </w:p>
    <w:p w:rsidR="00F970F4" w:rsidRDefault="00F970F4" w:rsidP="00D36E6B">
      <w:pPr>
        <w:pStyle w:val="ListParagraph"/>
        <w:numPr>
          <w:ilvl w:val="0"/>
          <w:numId w:val="6"/>
        </w:numPr>
      </w:pPr>
      <w:r w:rsidRPr="004F4687">
        <w:rPr>
          <w:rStyle w:val="Code"/>
        </w:rPr>
        <w:t>$DAYS</w:t>
      </w:r>
      <w:r>
        <w:t xml:space="preserve"> </w:t>
      </w:r>
      <w:r w:rsidR="003F20E2">
        <w:t>–</w:t>
      </w:r>
      <w:r>
        <w:t xml:space="preserve"> day</w:t>
      </w:r>
      <w:r w:rsidR="003F20E2">
        <w:t xml:space="preserve"> </w:t>
      </w:r>
      <w:r>
        <w:t>names</w:t>
      </w:r>
      <w:r w:rsidR="003F20E2">
        <w:t xml:space="preserve"> (e.g., Monday, Wednesday);</w:t>
      </w:r>
    </w:p>
    <w:p w:rsidR="00F970F4" w:rsidRDefault="00F970F4" w:rsidP="00D36E6B">
      <w:pPr>
        <w:pStyle w:val="ListParagraph"/>
        <w:numPr>
          <w:ilvl w:val="0"/>
          <w:numId w:val="6"/>
        </w:numPr>
      </w:pPr>
      <w:r w:rsidRPr="004F4687">
        <w:rPr>
          <w:rStyle w:val="Code"/>
        </w:rPr>
        <w:t>$MONTHS</w:t>
      </w:r>
      <w:r>
        <w:t xml:space="preserve"> </w:t>
      </w:r>
      <w:r w:rsidR="003F20E2">
        <w:t>–</w:t>
      </w:r>
      <w:r>
        <w:t xml:space="preserve"> month</w:t>
      </w:r>
      <w:r w:rsidR="003F20E2">
        <w:t xml:space="preserve"> </w:t>
      </w:r>
      <w:r>
        <w:t>names</w:t>
      </w:r>
      <w:r w:rsidR="003F20E2">
        <w:t xml:space="preserve"> (e.g., February, December);</w:t>
      </w:r>
    </w:p>
    <w:p w:rsidR="00F970F4" w:rsidRDefault="00F970F4" w:rsidP="00D36E6B">
      <w:pPr>
        <w:pStyle w:val="ListParagraph"/>
        <w:numPr>
          <w:ilvl w:val="0"/>
          <w:numId w:val="6"/>
        </w:numPr>
      </w:pPr>
      <w:r w:rsidRPr="004F4687">
        <w:rPr>
          <w:rStyle w:val="Code"/>
        </w:rPr>
        <w:t>$MONTH_ABBRS</w:t>
      </w:r>
      <w:r>
        <w:t xml:space="preserve"> </w:t>
      </w:r>
      <w:r w:rsidR="003F20E2">
        <w:t>–</w:t>
      </w:r>
      <w:r>
        <w:t xml:space="preserve"> three</w:t>
      </w:r>
      <w:r w:rsidR="003F20E2">
        <w:t>-</w:t>
      </w:r>
      <w:r>
        <w:t>letter abbreviations of month names</w:t>
      </w:r>
      <w:r w:rsidR="003F20E2">
        <w:t xml:space="preserve"> (e.g., Feb, Dec);</w:t>
      </w:r>
    </w:p>
    <w:p w:rsidR="00F970F4" w:rsidRDefault="00F970F4" w:rsidP="00D36E6B">
      <w:pPr>
        <w:pStyle w:val="ListParagraph"/>
        <w:numPr>
          <w:ilvl w:val="0"/>
          <w:numId w:val="6"/>
        </w:numPr>
      </w:pPr>
      <w:r w:rsidRPr="004F4687">
        <w:rPr>
          <w:rStyle w:val="Code"/>
        </w:rPr>
        <w:t>$RELATIVE_DAYS</w:t>
      </w:r>
      <w:r>
        <w:t xml:space="preserve"> </w:t>
      </w:r>
      <w:r w:rsidR="003F20E2">
        <w:t>–</w:t>
      </w:r>
      <w:r>
        <w:t xml:space="preserve"> relative</w:t>
      </w:r>
      <w:r w:rsidR="003F20E2">
        <w:t xml:space="preserve"> expressions of day granularity (e.g., today, tomorrow, yesterday)</w:t>
      </w:r>
      <w:r w:rsidR="008124CE">
        <w:t>;</w:t>
      </w:r>
    </w:p>
    <w:p w:rsidR="00F970F4" w:rsidRDefault="00F970F4" w:rsidP="00D36E6B">
      <w:pPr>
        <w:pStyle w:val="ListParagraph"/>
        <w:numPr>
          <w:ilvl w:val="0"/>
          <w:numId w:val="6"/>
        </w:numPr>
      </w:pPr>
      <w:r w:rsidRPr="004F4687">
        <w:rPr>
          <w:rStyle w:val="Code"/>
        </w:rPr>
        <w:t>$NTH_DOW_HOLIDAYS</w:t>
      </w:r>
      <w:r w:rsidR="00BA678C">
        <w:t xml:space="preserve"> – holidays which always occur on the same day, in the nth week of a particular month (e.g., </w:t>
      </w:r>
      <w:proofErr w:type="spellStart"/>
      <w:r w:rsidR="00BA678C">
        <w:t>Labor</w:t>
      </w:r>
      <w:proofErr w:type="spellEnd"/>
      <w:r w:rsidR="00BA678C">
        <w:t xml:space="preserve"> Day, Mother’s Day)</w:t>
      </w:r>
      <w:r w:rsidR="008124CE">
        <w:t>;</w:t>
      </w:r>
    </w:p>
    <w:p w:rsidR="00F970F4" w:rsidRDefault="00F970F4" w:rsidP="00D36E6B">
      <w:pPr>
        <w:pStyle w:val="ListParagraph"/>
        <w:numPr>
          <w:ilvl w:val="0"/>
          <w:numId w:val="6"/>
        </w:numPr>
      </w:pPr>
      <w:r w:rsidRPr="004F4687">
        <w:rPr>
          <w:rStyle w:val="Code"/>
        </w:rPr>
        <w:lastRenderedPageBreak/>
        <w:t>$FIXED_HOLIDAYS</w:t>
      </w:r>
      <w:r>
        <w:t xml:space="preserve"> </w:t>
      </w:r>
      <w:r w:rsidR="00BA678C">
        <w:t>–</w:t>
      </w:r>
      <w:r>
        <w:t xml:space="preserve"> holidays</w:t>
      </w:r>
      <w:r w:rsidR="00BA678C">
        <w:t xml:space="preserve"> </w:t>
      </w:r>
      <w:r>
        <w:t>which have a fixed date</w:t>
      </w:r>
      <w:r w:rsidR="00BA678C">
        <w:t xml:space="preserve"> (e.g., New Year, Valentine’s Day)</w:t>
      </w:r>
      <w:r w:rsidR="008124CE">
        <w:t>;</w:t>
      </w:r>
    </w:p>
    <w:p w:rsidR="008575D9" w:rsidRDefault="00BA678C" w:rsidP="00D36E6B">
      <w:pPr>
        <w:pStyle w:val="ListParagraph"/>
        <w:numPr>
          <w:ilvl w:val="0"/>
          <w:numId w:val="6"/>
        </w:numPr>
      </w:pPr>
      <w:proofErr w:type="gramStart"/>
      <w:r w:rsidRPr="004F4687">
        <w:rPr>
          <w:rStyle w:val="Code"/>
        </w:rPr>
        <w:t>$LUNAR_HOLIDAYS</w:t>
      </w:r>
      <w:r>
        <w:t xml:space="preserve"> – holidays </w:t>
      </w:r>
      <w:r w:rsidR="00F970F4">
        <w:t>which are relative to Easter</w:t>
      </w:r>
      <w:r>
        <w:t xml:space="preserve"> (e.g., Palm Sunday, Good Friday, </w:t>
      </w:r>
      <w:r w:rsidR="00FA0803">
        <w:t>etc.</w:t>
      </w:r>
      <w:r>
        <w:t>)</w:t>
      </w:r>
      <w:r w:rsidR="008124CE">
        <w:t>.</w:t>
      </w:r>
      <w:proofErr w:type="gramEnd"/>
    </w:p>
    <w:p w:rsidR="00457C58" w:rsidRDefault="00FB68C3" w:rsidP="00FB68C3">
      <w:r>
        <w:t xml:space="preserve">Additionally, rules can also be set to present strings that have number sequences marked up to allow for easy matching of such constructs. When this option is activated, the first number in a number sequence is preceded by </w:t>
      </w:r>
      <w:r w:rsidR="004C673E">
        <w:t>the</w:t>
      </w:r>
      <w:r>
        <w:t xml:space="preserve"> special identifier </w:t>
      </w:r>
      <w:r w:rsidRPr="004C673E">
        <w:rPr>
          <w:rStyle w:val="Code"/>
        </w:rPr>
        <w:t>NUM_START</w:t>
      </w:r>
      <w:r w:rsidR="004C673E">
        <w:rPr>
          <w:rStyle w:val="Code"/>
        </w:rPr>
        <w:t>,</w:t>
      </w:r>
      <w:r>
        <w:t xml:space="preserve"> and the final number in the sequence by </w:t>
      </w:r>
      <w:r w:rsidRPr="004C673E">
        <w:rPr>
          <w:rStyle w:val="Code"/>
        </w:rPr>
        <w:t>NUM_END</w:t>
      </w:r>
      <w:r w:rsidR="00457C58" w:rsidRPr="00457C58">
        <w:t>, e.g., “twenty four” would be presented as</w:t>
      </w:r>
      <w:r w:rsidR="00457C58">
        <w:rPr>
          <w:rStyle w:val="Code"/>
        </w:rPr>
        <w:t xml:space="preserve"> NUM_START&lt;</w:t>
      </w:r>
      <w:proofErr w:type="spellStart"/>
      <w:r w:rsidR="00457C58">
        <w:rPr>
          <w:rStyle w:val="Code"/>
        </w:rPr>
        <w:t>twenty~CD</w:t>
      </w:r>
      <w:proofErr w:type="spellEnd"/>
      <w:r w:rsidR="00457C58">
        <w:rPr>
          <w:rStyle w:val="Code"/>
        </w:rPr>
        <w:t>&gt;&lt;</w:t>
      </w:r>
      <w:proofErr w:type="spellStart"/>
      <w:r w:rsidR="00457C58">
        <w:rPr>
          <w:rStyle w:val="Code"/>
        </w:rPr>
        <w:t>four~CD</w:t>
      </w:r>
      <w:proofErr w:type="spellEnd"/>
      <w:r w:rsidR="00457C58">
        <w:rPr>
          <w:rStyle w:val="Code"/>
        </w:rPr>
        <w:t>&gt;NUM_END</w:t>
      </w:r>
      <w:r>
        <w:t>.</w:t>
      </w:r>
      <w:r w:rsidR="00457C58">
        <w:t xml:space="preserve"> Where the number sequence is an ordinal (e.g., “eighty fifth”), the markers </w:t>
      </w:r>
      <w:r w:rsidR="00457C58" w:rsidRPr="00457C58">
        <w:rPr>
          <w:rStyle w:val="Code"/>
        </w:rPr>
        <w:t>NUM_ORD_START</w:t>
      </w:r>
      <w:r w:rsidR="00457C58">
        <w:t xml:space="preserve"> and </w:t>
      </w:r>
      <w:r w:rsidR="00457C58" w:rsidRPr="00457C58">
        <w:rPr>
          <w:rStyle w:val="Code"/>
        </w:rPr>
        <w:t>NUM_ORD_END</w:t>
      </w:r>
      <w:r w:rsidR="00457C58">
        <w:t xml:space="preserve"> are used (e.g., </w:t>
      </w:r>
      <w:r w:rsidR="00457C58" w:rsidRPr="00457C58">
        <w:rPr>
          <w:rStyle w:val="Code"/>
        </w:rPr>
        <w:t>NUM_ORD_START&lt;</w:t>
      </w:r>
      <w:proofErr w:type="spellStart"/>
      <w:r w:rsidR="00457C58" w:rsidRPr="00457C58">
        <w:rPr>
          <w:rStyle w:val="Code"/>
        </w:rPr>
        <w:t>eighty~CD</w:t>
      </w:r>
      <w:proofErr w:type="spellEnd"/>
      <w:r w:rsidR="00457C58" w:rsidRPr="00457C58">
        <w:rPr>
          <w:rStyle w:val="Code"/>
        </w:rPr>
        <w:t>&gt;</w:t>
      </w:r>
      <w:r w:rsidR="00457C58">
        <w:rPr>
          <w:rStyle w:val="Code"/>
        </w:rPr>
        <w:t xml:space="preserve"> </w:t>
      </w:r>
      <w:r w:rsidR="00457C58" w:rsidRPr="00457C58">
        <w:rPr>
          <w:rStyle w:val="Code"/>
        </w:rPr>
        <w:t>&lt;</w:t>
      </w:r>
      <w:proofErr w:type="spellStart"/>
      <w:r w:rsidR="00457C58" w:rsidRPr="00457C58">
        <w:rPr>
          <w:rStyle w:val="Code"/>
        </w:rPr>
        <w:t>fifth~CD</w:t>
      </w:r>
      <w:proofErr w:type="spellEnd"/>
      <w:r w:rsidR="00457C58" w:rsidRPr="00457C58">
        <w:rPr>
          <w:rStyle w:val="Code"/>
        </w:rPr>
        <w:t>&gt;NUM_ORD_END</w:t>
      </w:r>
      <w:r w:rsidR="00457C58">
        <w:t>).</w:t>
      </w:r>
    </w:p>
    <w:p w:rsidR="00FB68C3" w:rsidRDefault="004C673E" w:rsidP="00FB68C3">
      <w:r>
        <w:t xml:space="preserve">An additional exception here is when the matching </w:t>
      </w:r>
      <w:proofErr w:type="gramStart"/>
      <w:r>
        <w:t xml:space="preserve">character </w:t>
      </w:r>
      <w:r w:rsidRPr="00457C58">
        <w:rPr>
          <w:rStyle w:val="Code"/>
        </w:rPr>
        <w:t>.</w:t>
      </w:r>
      <w:proofErr w:type="gramEnd"/>
      <w:r>
        <w:t xml:space="preserve"> </w:t>
      </w:r>
      <w:proofErr w:type="gramStart"/>
      <w:r>
        <w:t>is</w:t>
      </w:r>
      <w:proofErr w:type="gramEnd"/>
      <w:r>
        <w:t xml:space="preserve"> immediately preceded by </w:t>
      </w:r>
      <w:r w:rsidRPr="00457C58">
        <w:rPr>
          <w:rStyle w:val="Code"/>
        </w:rPr>
        <w:t>NUM_START</w:t>
      </w:r>
      <w:r>
        <w:t xml:space="preserve"> (or </w:t>
      </w:r>
      <w:r w:rsidRPr="00457C58">
        <w:rPr>
          <w:rStyle w:val="Code"/>
        </w:rPr>
        <w:t>NUM_ORD_START</w:t>
      </w:r>
      <w:r>
        <w:t>) it will match the entire extent of the number sequence in a non-greedy fashion, but crossing word boundaries, which the NLTK pre-processing usually disallows.</w:t>
      </w:r>
    </w:p>
    <w:p w:rsidR="008575D9" w:rsidRDefault="00B50228" w:rsidP="008575D9">
      <w:r>
        <w:t>Rules can also define</w:t>
      </w:r>
      <w:r w:rsidR="00C67270">
        <w:t xml:space="preserve"> a “squelch” option, which alters the rule into one </w:t>
      </w:r>
      <w:r w:rsidR="008124CE">
        <w:t>that</w:t>
      </w:r>
      <w:r w:rsidR="00C67270">
        <w:t xml:space="preserve"> removes t</w:t>
      </w:r>
      <w:r w:rsidR="008575D9">
        <w:t>imexes from the matching extent and</w:t>
      </w:r>
      <w:r w:rsidR="00C67270">
        <w:t xml:space="preserve"> </w:t>
      </w:r>
      <w:r>
        <w:t>a</w:t>
      </w:r>
      <w:r w:rsidR="00807A7E">
        <w:t xml:space="preserve">n option </w:t>
      </w:r>
      <w:r w:rsidR="008124CE">
        <w:t>that</w:t>
      </w:r>
      <w:r w:rsidR="00807A7E">
        <w:t xml:space="preserve"> defines</w:t>
      </w:r>
      <w:r w:rsidR="00C67270">
        <w:t xml:space="preserve"> </w:t>
      </w:r>
      <w:r w:rsidR="008124CE">
        <w:t>whether</w:t>
      </w:r>
      <w:r w:rsidR="00C67270">
        <w:t xml:space="preserve"> regular</w:t>
      </w:r>
      <w:r w:rsidR="008575D9">
        <w:t xml:space="preserve"> expressions are case-sensitive</w:t>
      </w:r>
      <w:r w:rsidR="00B33ACB">
        <w:t xml:space="preserve"> (i.e., </w:t>
      </w:r>
      <w:r w:rsidR="00B33ACB" w:rsidRPr="00ED596F">
        <w:rPr>
          <w:rStyle w:val="Code"/>
        </w:rPr>
        <w:t>NUM_START.*NUM_END</w:t>
      </w:r>
      <w:r w:rsidR="00B33ACB">
        <w:t xml:space="preserve"> will match a</w:t>
      </w:r>
      <w:r w:rsidR="005D2A19">
        <w:t xml:space="preserve"> single</w:t>
      </w:r>
      <w:r w:rsidR="00B33ACB">
        <w:t xml:space="preserve"> number sequence</w:t>
      </w:r>
      <w:r w:rsidR="005D2A19">
        <w:t>, regardless of how many tokens it contains).</w:t>
      </w:r>
    </w:p>
    <w:p w:rsidR="009F7A4B" w:rsidRDefault="00C213A4" w:rsidP="00873E62">
      <w:r>
        <w:t>Rule execution by the</w:t>
      </w:r>
      <w:r w:rsidR="009F7A4B">
        <w:t xml:space="preserve"> rule engine </w:t>
      </w:r>
      <w:proofErr w:type="gramStart"/>
      <w:r>
        <w:t>proceeds</w:t>
      </w:r>
      <w:proofErr w:type="gramEnd"/>
      <w:r>
        <w:t xml:space="preserve"> one sentence at a time</w:t>
      </w:r>
      <w:r w:rsidR="00EE7733">
        <w:t>. O</w:t>
      </w:r>
      <w:r>
        <w:t xml:space="preserve">n each sentence, the rule engine </w:t>
      </w:r>
      <w:r w:rsidR="009F7A4B">
        <w:t>continually iterate</w:t>
      </w:r>
      <w:r>
        <w:t>s</w:t>
      </w:r>
      <w:r w:rsidR="009F7A4B">
        <w:t xml:space="preserve"> the list of rules until all rules are marked as executed</w:t>
      </w:r>
      <w:r w:rsidR="008A37E9">
        <w:t>. As circular or dangling dependencies in the ordering precondition would mean this state is never reached (the ordering precondition</w:t>
      </w:r>
      <w:r w:rsidR="00EE7733">
        <w:t>s would always fail on these ru</w:t>
      </w:r>
      <w:r w:rsidR="008A37E9">
        <w:t>l</w:t>
      </w:r>
      <w:r w:rsidR="00EE7733">
        <w:t>e</w:t>
      </w:r>
      <w:r w:rsidR="008A37E9">
        <w:t>s, leaving rules in the circle always stuck in the non-executed state in the rule list), then upon rule loading, these</w:t>
      </w:r>
      <w:r w:rsidR="00EE7733">
        <w:t xml:space="preserve"> type of</w:t>
      </w:r>
      <w:r w:rsidR="008A37E9">
        <w:t xml:space="preserve"> dependencies are checked for.</w:t>
      </w:r>
    </w:p>
    <w:p w:rsidR="009F7A4B" w:rsidRDefault="009F7A4B" w:rsidP="00873E62">
      <w:r>
        <w:t>If the ordering precondition fails, then the rule is marked as not executed</w:t>
      </w:r>
      <w:r w:rsidR="00F70E29">
        <w:t>, left in the list for future iterations until its dependencies have been satisfied. Therefore, the largest number of iterations of the rule list needed is the size of the longest chain of dependencies.</w:t>
      </w:r>
    </w:p>
    <w:p w:rsidR="009F7A4B" w:rsidRDefault="00927E69" w:rsidP="00873E62">
      <w:r>
        <w:t xml:space="preserve">Each rule can (optionally) have an ID, which </w:t>
      </w:r>
      <w:r w:rsidR="00C67270">
        <w:t>can be referred</w:t>
      </w:r>
      <w:r>
        <w:t xml:space="preserve"> to by other rules in an ‘after’ list – a list of IDs that this rule must be executed after. Execution does not have to be successful to satisfy this ordering precondition –</w:t>
      </w:r>
      <w:r w:rsidR="00C67270">
        <w:t xml:space="preserve"> a rule is marked </w:t>
      </w:r>
      <w:r>
        <w:t>executed when the preconditions of the rule are checked, regardless of whether those preconditions pass or fail.</w:t>
      </w:r>
      <w:r w:rsidR="009F7A4B">
        <w:t xml:space="preserve"> This is the ordering precondition explicitly defined in the rule.</w:t>
      </w:r>
      <w:r w:rsidR="00C213A4">
        <w:t xml:space="preserve"> Rule blocks, discussed below, allow for specifying different ordering conditions implicitly.</w:t>
      </w:r>
    </w:p>
    <w:p w:rsidR="00927E69" w:rsidRDefault="009F7A4B" w:rsidP="00873E62">
      <w:r>
        <w:lastRenderedPageBreak/>
        <w:t xml:space="preserve">The other set of preconditions to be considered is that of the ‘guards’: regular expressions which the sentence </w:t>
      </w:r>
      <w:r w:rsidR="00C67270">
        <w:t>is matched against.</w:t>
      </w:r>
      <w:r w:rsidR="003547F2">
        <w:t xml:space="preserve">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 Once this guard has passed, the ‘Match’ regular expression is applied to discover potential timex extents within the sentence. As a final step, two further sets of guards are checked before these extents are actually marked in the sentence. The first set of guards are the ‘before’</w:t>
      </w:r>
      <w:r w:rsidR="00F14B35">
        <w:t xml:space="preserve"> guard,</w:t>
      </w:r>
      <w:r w:rsidR="003547F2">
        <w:t xml:space="preserve"> where the token sequence </w:t>
      </w:r>
      <w:r w:rsidR="00F14B35">
        <w:t>preceding the extent of this match is checked, and the ‘after’ guards, where the token sequence proceeding the extent of this match is checked.</w:t>
      </w:r>
    </w:p>
    <w:p w:rsidR="00B81B4D" w:rsidRDefault="004F1DC3" w:rsidP="00873E62">
      <w:r>
        <w:t>Following the success of all of these preconditions, then a new timex object is created, with the type indicated in the rule definition</w:t>
      </w:r>
      <w:r w:rsidR="00DC7B9F">
        <w:t xml:space="preserve">, covering the extent of the tokens that are matched. Because of this working on a token level, regular expressions are expected to belong to whole tokens, e.g., a regular expression which simply matches on the word “today” must contain the token delimiters: </w:t>
      </w:r>
      <w:r w:rsidR="00DC7B9F" w:rsidRPr="00DC7B9F">
        <w:rPr>
          <w:rStyle w:val="Code"/>
        </w:rPr>
        <w:t>&lt;today~.+&gt;</w:t>
      </w:r>
      <w:r w:rsidR="00DC7B9F">
        <w:t>, otherwise the timex will not correctly annotate the whole timex.</w:t>
      </w:r>
    </w:p>
    <w:p w:rsidR="00807A7E" w:rsidRDefault="00807A7E" w:rsidP="00807A7E">
      <w:pPr>
        <w:pStyle w:val="Heading3"/>
      </w:pPr>
      <w:bookmarkStart w:id="61" w:name="_Ref270082191"/>
      <w:r>
        <w:t>Simple Rule Files</w:t>
      </w:r>
      <w:bookmarkEnd w:id="61"/>
    </w:p>
    <w:p w:rsidR="00457C58" w:rsidRDefault="00807A7E" w:rsidP="00807A7E">
      <w:r>
        <w:t xml:space="preserve">Although rules </w:t>
      </w:r>
      <w:r w:rsidR="006C5BE3">
        <w:t xml:space="preserve">the </w:t>
      </w:r>
      <w:proofErr w:type="spellStart"/>
      <w:r w:rsidR="006C5BE3" w:rsidRPr="00807A7E">
        <w:rPr>
          <w:rStyle w:val="Code"/>
        </w:rPr>
        <w:t>ternip.rule_engine.recognition_rule</w:t>
      </w:r>
      <w:proofErr w:type="spellEnd"/>
      <w:r w:rsidR="006C5BE3">
        <w:t xml:space="preserve"> class allows </w:t>
      </w:r>
      <w:r w:rsidR="00FA0803">
        <w:t>rules</w:t>
      </w:r>
      <w:r w:rsidR="006C5BE3">
        <w:t xml:space="preserve"> to be created</w:t>
      </w:r>
      <w:r>
        <w:t xml:space="preserve"> programmatically, an easier way to define rules is provided by loading and parsing text files containing rule definitions.</w:t>
      </w:r>
    </w:p>
    <w:p w:rsidR="00EB6EAC" w:rsidRDefault="00457C58" w:rsidP="00807A7E">
      <w:r>
        <w:t xml:space="preserve">Each line </w:t>
      </w:r>
      <w:r w:rsidR="0097122E">
        <w:t xml:space="preserve">starts with a key defining how the value should be considered, followed by a colon and then the value itself. Whitespace between the colon and the start of the value is disregarded, as well as trailing whitespace on the line. </w:t>
      </w:r>
      <w:r w:rsidR="00EB6EAC">
        <w:t>Additionally, rule files support comment lines. If a line starts with a single hash (</w:t>
      </w:r>
      <w:r w:rsidR="00EB6EAC" w:rsidRPr="00EB6EAC">
        <w:rPr>
          <w:rStyle w:val="Code"/>
        </w:rPr>
        <w:t>#</w:t>
      </w:r>
      <w:r w:rsidR="00EB6EAC">
        <w:t>), then the rest of that line is ignored and considered a comment.</w:t>
      </w:r>
    </w:p>
    <w:p w:rsidR="00EB6EAC" w:rsidRDefault="00EB6EAC" w:rsidP="00807A7E">
      <w:r>
        <w:t>Rule file parsing is strict, and malformed rule files result in an error being raised by the rule engine and the rule failing to load. In order to aid with debugging, if multiple rules are being loaded at once (for example, from a directory of rules)</w:t>
      </w:r>
      <w:r w:rsidR="00FA0803">
        <w:t>;</w:t>
      </w:r>
      <w:r>
        <w:t xml:space="preserve"> the errors raised are delayed until all rules have been attempted to load, to give the most informative errors possible.</w:t>
      </w:r>
    </w:p>
    <w:p w:rsidR="00807A7E" w:rsidRPr="00807A7E" w:rsidRDefault="00457C58" w:rsidP="00807A7E">
      <w:r>
        <w:t xml:space="preserve">In each rule, a key can be specified once or multiple times, depending on the nature of what is being defined. Some keys can </w:t>
      </w:r>
      <w:r w:rsidR="0097122E">
        <w:t xml:space="preserve">be omitted completely, </w:t>
      </w:r>
      <w:proofErr w:type="gramStart"/>
      <w:r w:rsidR="0097122E">
        <w:t>in</w:t>
      </w:r>
      <w:proofErr w:type="gramEnd"/>
      <w:r w:rsidR="0097122E">
        <w:t xml:space="preserve"> which case a default (or no) value is defined to that attribute of the rule.</w:t>
      </w:r>
      <w:r w:rsidR="003C0B35">
        <w:t xml:space="preserve"> </w:t>
      </w:r>
      <w:r w:rsidR="00FA0803">
        <w:fldChar w:fldCharType="begin"/>
      </w:r>
      <w:r w:rsidR="00FA0803">
        <w:instrText xml:space="preserve"> REF _Ref270169329 \h </w:instrText>
      </w:r>
      <w:r w:rsidR="00FA0803">
        <w:fldChar w:fldCharType="separate"/>
      </w:r>
      <w:r w:rsidR="0013651A">
        <w:t xml:space="preserve">Table </w:t>
      </w:r>
      <w:r w:rsidR="0013651A">
        <w:rPr>
          <w:noProof/>
        </w:rPr>
        <w:t>2</w:t>
      </w:r>
      <w:r w:rsidR="00FA0803">
        <w:fldChar w:fldCharType="end"/>
      </w:r>
      <w:r w:rsidR="00FA0803">
        <w:t xml:space="preserve"> lists the allowed keys in the definition of a recognition rule, and how their value relates to the rule descriptions defined above. </w:t>
      </w:r>
      <w:r w:rsidR="009F73CB">
        <w:fldChar w:fldCharType="begin"/>
      </w:r>
      <w:r w:rsidR="009F73CB">
        <w:instrText xml:space="preserve"> REF _Ref270170684 \h </w:instrText>
      </w:r>
      <w:r w:rsidR="009F73CB">
        <w:fldChar w:fldCharType="separate"/>
      </w:r>
      <w:r w:rsidR="0013651A">
        <w:t xml:space="preserve">Sample </w:t>
      </w:r>
      <w:r w:rsidR="0013651A">
        <w:rPr>
          <w:noProof/>
        </w:rPr>
        <w:t>4</w:t>
      </w:r>
      <w:r w:rsidR="009F73CB">
        <w:fldChar w:fldCharType="end"/>
      </w:r>
      <w:r w:rsidR="009F73CB">
        <w:t xml:space="preserve"> demonstrates a minimal definition of a recognition rule.</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r w:rsidR="0097122E">
              <w:t xml:space="preserve"> Description</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rule identifier: </w:t>
            </w:r>
            <w:r w:rsidR="00296920">
              <w:t>a</w:t>
            </w:r>
            <w:r>
              <w:t>n optional string</w:t>
            </w:r>
            <w:r w:rsidR="00296920">
              <w:t xml:space="preserve"> </w:t>
            </w:r>
            <w:r w:rsidR="004D438E">
              <w:t>that</w:t>
            </w:r>
            <w:r w:rsidR="00296920">
              <w:t xml:space="preserve"> can be defined no more than once,</w:t>
            </w:r>
            <w:r>
              <w:t xml:space="preserve"> which can be referred to by other rules to express an ordering</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identifier of a rule whose execution must have preceded the execution of this rule: </w:t>
            </w:r>
            <w:r w:rsidR="00296920">
              <w:t xml:space="preserve">an optional string, </w:t>
            </w:r>
            <w:r w:rsidR="004D438E">
              <w:t>that</w:t>
            </w:r>
            <w:r w:rsidR="00296920">
              <w:t xml:space="preserve"> can be defined multiple times to define multiple dependencies</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 xml:space="preserve">The type of the expression identified by this rule: this is a string </w:t>
            </w:r>
            <w:r w:rsidR="004D438E">
              <w:t>that</w:t>
            </w:r>
            <w:r>
              <w:t xml:space="preserve">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13651A">
              <w:t xml:space="preserve">Table </w:t>
            </w:r>
            <w:r w:rsidR="0013651A">
              <w:rPr>
                <w:noProof/>
              </w:rPr>
              <w:t>1</w:t>
            </w:r>
            <w:r>
              <w:fldChar w:fldCharType="end"/>
            </w:r>
            <w:r>
              <w:t>)</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873E62">
            <w:r>
              <w:t>The regular expression which, for each match in a sentence, results in a timex created covering the tokens matched in this expression: this is a compulsory field that can exist only once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Squelch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to enable this rule as  “squelching” rule: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the regular expressions should be matched case-sensitively: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pPr>
              <w:keepNext/>
            </w:pPr>
            <w:r>
              <w:t>Whether number sequences should be marked up in the text before being presented to a regular expression: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D438E" w:rsidP="002F51FC">
            <w:pPr>
              <w:keepNext/>
            </w:pPr>
            <w:proofErr w:type="gramStart"/>
            <w:r>
              <w:t xml:space="preserve">A sentence-level guard for this rule: an optional regular expression that can exist multiple times, which results in a conjunction of conditions, or not at all, which results in an </w:t>
            </w:r>
            <w:r w:rsidR="002F51FC">
              <w:t>always-successful</w:t>
            </w:r>
            <w:r>
              <w:t xml:space="preserve"> </w:t>
            </w:r>
            <w:r w:rsidR="002F51FC">
              <w:t>pre-condition</w:t>
            </w:r>
            <w:r>
              <w:t>.</w:t>
            </w:r>
            <w:proofErr w:type="gramEnd"/>
            <w:r>
              <w:t xml:space="preserve"> If the first character of the expression </w:t>
            </w:r>
            <w:r w:rsidR="002F51FC">
              <w:t>is an exclamation mark (</w:t>
            </w:r>
            <w:r w:rsidR="002F51FC" w:rsidRPr="002F51FC">
              <w:rPr>
                <w:rStyle w:val="Code"/>
              </w:rPr>
              <w:t>!</w:t>
            </w:r>
            <w:r w:rsidR="002F51FC">
              <w:t>), then it negates the regular expression, meaning this guard will only pass if the regular expression does not match anything in the sentence.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F51FC" w:rsidP="002F51FC">
            <w:pPr>
              <w:keepNext/>
            </w:pPr>
            <w:r>
              <w:t>The before-match guard for this rule: this follows the same format as the ‘Guard’</w:t>
            </w:r>
            <w:r w:rsidR="00BA1DEE">
              <w:t xml:space="preserve"> key</w:t>
            </w:r>
          </w:p>
        </w:tc>
      </w:tr>
      <w:tr w:rsidR="002F51FC" w:rsidTr="00873E62">
        <w:tc>
          <w:tcPr>
            <w:cnfStyle w:val="001000000000" w:firstRow="0" w:lastRow="0" w:firstColumn="1" w:lastColumn="0" w:oddVBand="0" w:evenVBand="0" w:oddHBand="0" w:evenHBand="0" w:firstRowFirstColumn="0" w:firstRowLastColumn="0" w:lastRowFirstColumn="0" w:lastRowLastColumn="0"/>
            <w:tcW w:w="2660" w:type="dxa"/>
          </w:tcPr>
          <w:p w:rsidR="002F51FC" w:rsidRDefault="002F51FC"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2F51FC" w:rsidRDefault="002F51FC" w:rsidP="002F51FC">
            <w:pPr>
              <w:keepNext/>
            </w:pPr>
            <w:r>
              <w:t>The after-match guard for this rule: this follows the same format as the ‘Guard’</w:t>
            </w:r>
            <w:r w:rsidR="00BA1DEE">
              <w:t xml:space="preserve"> key</w:t>
            </w:r>
          </w:p>
        </w:tc>
      </w:tr>
    </w:tbl>
    <w:p w:rsidR="00873E62" w:rsidRDefault="00873E62" w:rsidP="00873E62">
      <w:pPr>
        <w:pStyle w:val="Caption"/>
      </w:pPr>
      <w:bookmarkStart w:id="62" w:name="_Ref270169329"/>
      <w:r>
        <w:t xml:space="preserve">Table </w:t>
      </w:r>
      <w:r w:rsidR="005175C7">
        <w:fldChar w:fldCharType="begin"/>
      </w:r>
      <w:r w:rsidR="005175C7">
        <w:instrText xml:space="preserve"> SEQ Table \* ARABIC </w:instrText>
      </w:r>
      <w:r w:rsidR="005175C7">
        <w:fldChar w:fldCharType="separate"/>
      </w:r>
      <w:r w:rsidR="0013651A">
        <w:rPr>
          <w:noProof/>
        </w:rPr>
        <w:t>2</w:t>
      </w:r>
      <w:r w:rsidR="005175C7">
        <w:fldChar w:fldCharType="end"/>
      </w:r>
      <w:bookmarkEnd w:id="62"/>
      <w:r>
        <w:t xml:space="preserve"> - Accepted fields in recognition rule definitions</w:t>
      </w:r>
    </w:p>
    <w:p w:rsidR="00DF78B2" w:rsidRDefault="00DF78B2" w:rsidP="009F73CB">
      <w:pPr>
        <w:pBdr>
          <w:top w:val="single" w:sz="4" w:space="1" w:color="auto"/>
          <w:left w:val="single" w:sz="4" w:space="4" w:color="auto"/>
          <w:bottom w:val="single" w:sz="4" w:space="1" w:color="auto"/>
          <w:right w:val="single" w:sz="4" w:space="4" w:color="auto"/>
        </w:pBdr>
        <w:jc w:val="left"/>
        <w:rPr>
          <w:rStyle w:val="Code"/>
        </w:rPr>
      </w:pPr>
      <w:r w:rsidRPr="00DF78B2">
        <w:rPr>
          <w:rStyle w:val="Code"/>
        </w:rPr>
        <w:t>Type: time</w:t>
      </w:r>
      <w:r w:rsidR="009F73CB">
        <w:rPr>
          <w:rStyle w:val="Code"/>
        </w:rPr>
        <w:br/>
      </w:r>
      <w:r w:rsidRPr="00DF78B2">
        <w:rPr>
          <w:rStyle w:val="Code"/>
        </w:rPr>
        <w:t>Match: (</w:t>
      </w:r>
      <w:proofErr w:type="gramStart"/>
      <w:r w:rsidRPr="00DF78B2">
        <w:rPr>
          <w:rStyle w:val="Code"/>
        </w:rPr>
        <w:t>&lt;(</w:t>
      </w:r>
      <w:proofErr w:type="spellStart"/>
      <w:proofErr w:type="gramEnd"/>
      <w:r w:rsidRPr="00DF78B2">
        <w:rPr>
          <w:rStyle w:val="Code"/>
        </w:rPr>
        <w:t>about|around|some</w:t>
      </w:r>
      <w:proofErr w:type="spellEnd"/>
      <w:r w:rsidRPr="00DF78B2">
        <w:rPr>
          <w:rStyle w:val="Code"/>
        </w:rPr>
        <w:t>)~.+&gt;)?&lt;(</w:t>
      </w:r>
      <w:proofErr w:type="spellStart"/>
      <w:r w:rsidRPr="00DF78B2">
        <w:rPr>
          <w:rStyle w:val="Code"/>
        </w:rPr>
        <w:t>noon|midnight|mid</w:t>
      </w:r>
      <w:proofErr w:type="spellEnd"/>
      <w:r w:rsidRPr="00DF78B2">
        <w:rPr>
          <w:rStyle w:val="Code"/>
        </w:rPr>
        <w:t>-?day)~.+&gt;</w:t>
      </w:r>
    </w:p>
    <w:p w:rsidR="009F73CB" w:rsidRPr="00DF78B2" w:rsidRDefault="009F73CB" w:rsidP="009F73CB">
      <w:pPr>
        <w:pStyle w:val="Caption"/>
        <w:rPr>
          <w:rStyle w:val="Code"/>
        </w:rPr>
      </w:pPr>
      <w:bookmarkStart w:id="63" w:name="_Ref270170684"/>
      <w:r>
        <w:t xml:space="preserve">Sample </w:t>
      </w:r>
      <w:r>
        <w:fldChar w:fldCharType="begin"/>
      </w:r>
      <w:r>
        <w:instrText xml:space="preserve"> SEQ Sample \* ARABIC </w:instrText>
      </w:r>
      <w:r>
        <w:fldChar w:fldCharType="separate"/>
      </w:r>
      <w:r w:rsidR="00C46885">
        <w:rPr>
          <w:noProof/>
        </w:rPr>
        <w:t>4</w:t>
      </w:r>
      <w:r>
        <w:fldChar w:fldCharType="end"/>
      </w:r>
      <w:bookmarkEnd w:id="63"/>
      <w:r>
        <w:t xml:space="preserve"> - a minimal definition of a single recognition rule</w:t>
      </w:r>
    </w:p>
    <w:p w:rsidR="00E324CF" w:rsidRDefault="00807A7E" w:rsidP="00807A7E">
      <w:r>
        <w:t xml:space="preserve">In addition to this format, which allows one rule per file, the concept of “rule blocks” is also present. These blocks allow for an easier expression of </w:t>
      </w:r>
      <w:r w:rsidR="006C5BE3">
        <w:t>ordering</w:t>
      </w:r>
      <w:r w:rsidR="00C213A4">
        <w:t xml:space="preserve"> and for execution conditional on failure of all previous rules in the block.</w:t>
      </w:r>
    </w:p>
    <w:p w:rsidR="00E324CF" w:rsidRDefault="00E324CF" w:rsidP="00807A7E">
      <w:r>
        <w:lastRenderedPageBreak/>
        <w:t xml:space="preserve">Rule blocks follow a similar format to single rules, but allow for multiple rules in a file separated by three dashes: </w:t>
      </w:r>
      <w:r w:rsidRPr="00E324CF">
        <w:rPr>
          <w:rStyle w:val="Code"/>
        </w:rPr>
        <w:t>---</w:t>
      </w:r>
      <w:r w:rsidRPr="00E324CF">
        <w:t xml:space="preserve">. </w:t>
      </w:r>
      <w:r>
        <w:t xml:space="preserve">Additionally, the first section of a rule block is </w:t>
      </w:r>
      <w:r w:rsidR="005D0C65">
        <w:t>the</w:t>
      </w:r>
      <w:r w:rsidR="006C5BE3">
        <w:t xml:space="preserve"> header of the rule block, which</w:t>
      </w:r>
      <w:r>
        <w:t xml:space="preserve"> </w:t>
      </w:r>
      <w:r w:rsidR="006C5BE3">
        <w:t>indicates</w:t>
      </w:r>
      <w:r>
        <w:t xml:space="preserve"> the type of block it is</w:t>
      </w:r>
      <w:r w:rsidR="005D0C65">
        <w:t xml:space="preserve">. </w:t>
      </w:r>
      <w:r w:rsidR="006C5BE3">
        <w:fldChar w:fldCharType="begin"/>
      </w:r>
      <w:r w:rsidR="006C5BE3">
        <w:instrText xml:space="preserve"> REF _Ref270164724 \h </w:instrText>
      </w:r>
      <w:r w:rsidR="006C5BE3">
        <w:fldChar w:fldCharType="separate"/>
      </w:r>
      <w:r w:rsidR="0013651A">
        <w:t xml:space="preserve">Sample </w:t>
      </w:r>
      <w:r w:rsidR="0013651A">
        <w:rPr>
          <w:noProof/>
        </w:rPr>
        <w:t>3</w:t>
      </w:r>
      <w:r w:rsidR="006C5BE3">
        <w:fldChar w:fldCharType="end"/>
      </w:r>
      <w:r w:rsidR="006C5BE3">
        <w:t xml:space="preserve"> shows a</w:t>
      </w:r>
      <w:r w:rsidR="00B968CD">
        <w:t xml:space="preserve"> sample rule block, and</w:t>
      </w:r>
      <w:r w:rsidR="006C5BE3">
        <w:t xml:space="preserve"> </w:t>
      </w:r>
      <w:r w:rsidR="006C5BE3">
        <w:fldChar w:fldCharType="begin"/>
      </w:r>
      <w:r w:rsidR="006C5BE3">
        <w:instrText xml:space="preserve"> REF _Ref270091918 \h </w:instrText>
      </w:r>
      <w:r w:rsidR="006C5BE3">
        <w:fldChar w:fldCharType="separate"/>
      </w:r>
      <w:r w:rsidR="0013651A">
        <w:t xml:space="preserve">Table </w:t>
      </w:r>
      <w:r w:rsidR="0013651A">
        <w:rPr>
          <w:noProof/>
        </w:rPr>
        <w:t>3</w:t>
      </w:r>
      <w:r w:rsidR="006C5BE3">
        <w:fldChar w:fldCharType="end"/>
      </w:r>
      <w:r w:rsidR="006C5BE3">
        <w:t xml:space="preserve"> shows</w:t>
      </w:r>
      <w:r w:rsidR="00B968CD">
        <w:t xml:space="preserve"> t</w:t>
      </w:r>
      <w:r w:rsidR="005D0C65">
        <w:t>he full list of acceptable values in the rule block header</w:t>
      </w:r>
      <w:r w:rsidR="003852BC">
        <w:t>.</w:t>
      </w:r>
    </w:p>
    <w:tbl>
      <w:tblPr>
        <w:tblStyle w:val="LightList1"/>
        <w:tblW w:w="0" w:type="auto"/>
        <w:tblLook w:val="00A0" w:firstRow="1" w:lastRow="0" w:firstColumn="1" w:lastColumn="0" w:noHBand="0" w:noVBand="0"/>
      </w:tblPr>
      <w:tblGrid>
        <w:gridCol w:w="1526"/>
        <w:gridCol w:w="7081"/>
      </w:tblGrid>
      <w:tr w:rsidR="00E324CF" w:rsidTr="00E32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Key</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E324CF" w:rsidP="00807A7E">
            <w:r>
              <w:t>Value</w:t>
            </w:r>
          </w:p>
        </w:tc>
      </w:tr>
      <w:tr w:rsidR="00E324CF"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067829" w:rsidP="00807A7E">
            <w:r>
              <w:t>A string of either ‘</w:t>
            </w:r>
            <w:r w:rsidR="00912536">
              <w:t>run-all’ or ‘run-until-success’</w:t>
            </w:r>
          </w:p>
        </w:tc>
      </w:tr>
      <w:tr w:rsidR="00CC5F4A" w:rsidTr="00E324CF">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ID</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block identifier: an optional string that can be defined no more than once, which can be referred to by other rule and blocks to express an ordering</w:t>
            </w:r>
          </w:p>
        </w:tc>
      </w:tr>
      <w:tr w:rsidR="00CC5F4A"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After</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identifier of a rule or block whose execution must have preceded the execution of this block: an optional string, that can be defined multiple times to define multiple dependencies</w:t>
            </w:r>
          </w:p>
        </w:tc>
      </w:tr>
    </w:tbl>
    <w:p w:rsidR="00E324CF" w:rsidRDefault="005D0C65" w:rsidP="005D0C65">
      <w:pPr>
        <w:pStyle w:val="Caption"/>
      </w:pPr>
      <w:bookmarkStart w:id="64" w:name="_Ref270091918"/>
      <w:bookmarkStart w:id="65" w:name="_Ref270092175"/>
      <w:r>
        <w:t xml:space="preserve">Table </w:t>
      </w:r>
      <w:r>
        <w:fldChar w:fldCharType="begin"/>
      </w:r>
      <w:r>
        <w:instrText xml:space="preserve"> SEQ Table \* ARABIC </w:instrText>
      </w:r>
      <w:r>
        <w:fldChar w:fldCharType="separate"/>
      </w:r>
      <w:r w:rsidR="0013651A">
        <w:rPr>
          <w:noProof/>
        </w:rPr>
        <w:t>3</w:t>
      </w:r>
      <w:r>
        <w:fldChar w:fldCharType="end"/>
      </w:r>
      <w:bookmarkEnd w:id="64"/>
      <w:r>
        <w:t xml:space="preserve"> - Accepted fields in rule block headers</w:t>
      </w:r>
      <w:bookmarkEnd w:id="65"/>
    </w:p>
    <w:p w:rsidR="00B51520" w:rsidRDefault="006C5E95" w:rsidP="00B51520">
      <w:r>
        <w:t xml:space="preserve">As shown </w:t>
      </w:r>
      <w:r>
        <w:fldChar w:fldCharType="begin"/>
      </w:r>
      <w:r>
        <w:instrText xml:space="preserve"> REF _Ref270092175 \p \h </w:instrText>
      </w:r>
      <w:r>
        <w:fldChar w:fldCharType="separate"/>
      </w:r>
      <w:r w:rsidR="0013651A">
        <w:t>above</w:t>
      </w:r>
      <w:r>
        <w:fldChar w:fldCharType="end"/>
      </w:r>
      <w:r>
        <w:t>, there are two types of blocks, which differ in how rule execution proceeds. In both types, rules are executed in order from top-to-bottom as defined in the file, but with the “run-until-success” type, execution of the block ceases when a rule executes successfully (the pre-conditions pass and the ‘Match’ regular expression results in at least one match). Any proceeding rules are not executed, and the rule block returns execution control successfully to the rule engine to continue its execution plan.</w:t>
      </w:r>
    </w:p>
    <w:p w:rsidR="00B51520" w:rsidRDefault="00B51520" w:rsidP="00B51520">
      <w:r>
        <w:t xml:space="preserve">Because </w:t>
      </w:r>
      <w:r w:rsidR="006C5E95">
        <w:t xml:space="preserve">of </w:t>
      </w:r>
      <w:r>
        <w:t>the order implicit in a rule block, and that execution of a rule block proceeds atomically, explicit ordering of individual rules within the block is not permitted. Therefore, the ‘ID’ and ‘After’ keys, which are allowed in single rule files are not permitted in rules defined in rule blocks.</w:t>
      </w:r>
    </w:p>
    <w:p w:rsidR="00B23DF1" w:rsidRDefault="00B23DF1" w:rsidP="006D7295">
      <w:pPr>
        <w:pBdr>
          <w:top w:val="single" w:sz="4" w:space="1" w:color="auto"/>
          <w:left w:val="single" w:sz="4" w:space="4" w:color="auto"/>
          <w:bottom w:val="single" w:sz="4" w:space="1" w:color="auto"/>
          <w:right w:val="single" w:sz="4" w:space="4" w:color="auto"/>
        </w:pBdr>
        <w:jc w:val="left"/>
        <w:rPr>
          <w:rStyle w:val="Code"/>
        </w:rPr>
      </w:pPr>
      <w:r w:rsidRPr="006D7295">
        <w:rPr>
          <w:rStyle w:val="Code"/>
        </w:rPr>
        <w:t>Block-Type: run-all</w:t>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w:t>
      </w:r>
      <w:proofErr w:type="spellStart"/>
      <w:r w:rsidR="006D7295" w:rsidRPr="006D7295">
        <w:rPr>
          <w:rStyle w:val="Code"/>
        </w:rPr>
        <w:t>early</w:t>
      </w:r>
      <w:r w:rsidR="006D7295">
        <w:rPr>
          <w:rStyle w:val="Code"/>
        </w:rPr>
        <w:t>|late</w:t>
      </w:r>
      <w:proofErr w:type="spellEnd"/>
      <w:r w:rsidR="006D7295">
        <w:rPr>
          <w:rStyle w:val="Code"/>
        </w:rPr>
        <w:t>)~.+&gt;)?&lt;last~.+&gt;&lt;night~.+&gt;</w:t>
      </w:r>
      <w:r w:rsidR="006D7295">
        <w:rPr>
          <w:rStyle w:val="Code"/>
        </w:rPr>
        <w:br/>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w:t>
      </w:r>
      <w:proofErr w:type="spellStart"/>
      <w:r w:rsidR="006D7295" w:rsidRPr="006D7295">
        <w:rPr>
          <w:rStyle w:val="Code"/>
        </w:rPr>
        <w:t>early|late</w:t>
      </w:r>
      <w:proofErr w:type="spellEnd"/>
      <w:r w:rsidR="006D7295" w:rsidRPr="006D7295">
        <w:rPr>
          <w:rStyle w:val="Code"/>
        </w:rPr>
        <w:t>)~.+&gt;&lt;(</w:t>
      </w:r>
      <w:proofErr w:type="spellStart"/>
      <w:r w:rsidR="006D7295" w:rsidRPr="006D7295">
        <w:rPr>
          <w:rStyle w:val="Code"/>
        </w:rPr>
        <w:t>morning|afternoon|evening</w:t>
      </w:r>
      <w:proofErr w:type="spellEnd"/>
      <w:r w:rsidR="006D7295" w:rsidRPr="006D7295">
        <w:rPr>
          <w:rStyle w:val="Code"/>
        </w:rPr>
        <w:t>)~.+&gt;</w:t>
      </w:r>
    </w:p>
    <w:p w:rsidR="006D7295" w:rsidRPr="006D7295" w:rsidRDefault="006D7295" w:rsidP="006D7295">
      <w:pPr>
        <w:pStyle w:val="Caption"/>
        <w:rPr>
          <w:rStyle w:val="Code"/>
        </w:rPr>
      </w:pPr>
      <w:bookmarkStart w:id="66" w:name="_Ref270093042"/>
      <w:proofErr w:type="gramStart"/>
      <w:r>
        <w:t xml:space="preserve">Sample </w:t>
      </w:r>
      <w:proofErr w:type="gramEnd"/>
      <w:r>
        <w:fldChar w:fldCharType="begin"/>
      </w:r>
      <w:r>
        <w:instrText xml:space="preserve"> SEQ Sample \* ARABIC </w:instrText>
      </w:r>
      <w:r>
        <w:fldChar w:fldCharType="separate"/>
      </w:r>
      <w:r w:rsidR="00C46885">
        <w:rPr>
          <w:noProof/>
        </w:rPr>
        <w:t>5</w:t>
      </w:r>
      <w:r>
        <w:fldChar w:fldCharType="end"/>
      </w:r>
      <w:bookmarkEnd w:id="66"/>
      <w:proofErr w:type="gramStart"/>
      <w:r>
        <w:t xml:space="preserve"> - a rule block</w:t>
      </w:r>
      <w:proofErr w:type="gramEnd"/>
      <w:r>
        <w:t xml:space="preserve"> containing two rules</w:t>
      </w:r>
    </w:p>
    <w:p w:rsidR="004F1DC3" w:rsidRDefault="004F1DC3" w:rsidP="004F1DC3">
      <w:pPr>
        <w:pStyle w:val="Heading3"/>
      </w:pPr>
      <w:r>
        <w:t>Complex Rule Files</w:t>
      </w:r>
    </w:p>
    <w:p w:rsidR="004F1DC3" w:rsidRDefault="004F1DC3" w:rsidP="004F1DC3">
      <w:r>
        <w:t xml:space="preserve">For rules where the logic </w:t>
      </w:r>
      <w:r w:rsidR="004852A0">
        <w:t>cannot</w:t>
      </w:r>
      <w:r>
        <w:t xml:space="preserve"> be captured in the rule format </w:t>
      </w:r>
      <w:r w:rsidR="004852A0">
        <w:t xml:space="preserve">described </w:t>
      </w:r>
      <w:r>
        <w:t xml:space="preserve">above (for example, more complex guards than regular expressions allow), </w:t>
      </w:r>
      <w:r w:rsidR="004852A0">
        <w:t xml:space="preserve">an alternate rule format is supported, called </w:t>
      </w:r>
      <w:r>
        <w:t>complex rules</w:t>
      </w:r>
      <w:r w:rsidR="004353FF">
        <w:t>. These co</w:t>
      </w:r>
      <w:r w:rsidR="004852A0">
        <w:t xml:space="preserve">mplex rules are Python </w:t>
      </w:r>
      <w:r w:rsidR="00FA0803">
        <w:t>classes that</w:t>
      </w:r>
      <w:r w:rsidR="004852A0">
        <w:t xml:space="preserve"> implement a defined interface, and typically inherit from </w:t>
      </w:r>
      <w:proofErr w:type="spellStart"/>
      <w:r w:rsidR="004852A0" w:rsidRPr="004852A0">
        <w:rPr>
          <w:rStyle w:val="Code"/>
        </w:rPr>
        <w:t>ternip.rule_engine.rule</w:t>
      </w:r>
      <w:proofErr w:type="spellEnd"/>
      <w:r w:rsidR="004852A0">
        <w:t>, but are not required to do so</w:t>
      </w:r>
      <w:r w:rsidR="004353FF">
        <w:t>.</w:t>
      </w:r>
    </w:p>
    <w:p w:rsidR="004F1DC3" w:rsidRDefault="004852A0" w:rsidP="004F1DC3">
      <w:r>
        <w:lastRenderedPageBreak/>
        <w:t>Complex rules are written as Python files</w:t>
      </w:r>
      <w:r w:rsidR="00CF26E9">
        <w:t xml:space="preserve"> with the file extension </w:t>
      </w:r>
      <w:r w:rsidR="00CF26E9" w:rsidRPr="003D21DA">
        <w:rPr>
          <w:rStyle w:val="Code"/>
        </w:rPr>
        <w:t>.</w:t>
      </w:r>
      <w:proofErr w:type="spellStart"/>
      <w:r w:rsidR="00FA0803" w:rsidRPr="003D21DA">
        <w:rPr>
          <w:rStyle w:val="Code"/>
        </w:rPr>
        <w:t>pyrule</w:t>
      </w:r>
      <w:proofErr w:type="spellEnd"/>
      <w:r w:rsidR="00FA0803">
        <w:t>, which</w:t>
      </w:r>
      <w:r>
        <w:t xml:space="preserve"> are </w:t>
      </w:r>
      <w:r w:rsidR="00EB31AF">
        <w:t>imported</w:t>
      </w:r>
      <w:r>
        <w:t xml:space="preserve"> by the rule engine</w:t>
      </w:r>
      <w:r w:rsidR="00EB31AF">
        <w:t xml:space="preserve">, with the class named </w:t>
      </w:r>
      <w:r w:rsidR="00EB31AF" w:rsidRPr="003D21DA">
        <w:rPr>
          <w:rStyle w:val="Code"/>
        </w:rPr>
        <w:t>rule</w:t>
      </w:r>
      <w:r w:rsidR="00EB31AF">
        <w:t xml:space="preserve"> in the file instantiated and added to the list of rules.</w:t>
      </w:r>
    </w:p>
    <w:p w:rsidR="00A36553" w:rsidRDefault="00A36553" w:rsidP="004F1DC3">
      <w:r>
        <w:t>These complex rules must implement two properties and one method to be compatible with the format required by the rule engine. These two properties</w:t>
      </w:r>
      <w:r w:rsidR="003D21DA">
        <w:t xml:space="preserve"> are </w:t>
      </w:r>
      <w:r w:rsidR="003D21DA" w:rsidRPr="003D21DA">
        <w:rPr>
          <w:rStyle w:val="Code"/>
        </w:rPr>
        <w:t>id</w:t>
      </w:r>
      <w:r w:rsidR="003D21DA">
        <w:t xml:space="preserve"> and </w:t>
      </w:r>
      <w:r w:rsidR="003D21DA" w:rsidRPr="003D21DA">
        <w:rPr>
          <w:rStyle w:val="Code"/>
        </w:rPr>
        <w:t>after</w:t>
      </w:r>
      <w:r w:rsidR="003D21DA">
        <w:t xml:space="preserve">. </w:t>
      </w:r>
      <w:proofErr w:type="gramStart"/>
      <w:r w:rsidR="003D21DA" w:rsidRPr="003D21DA">
        <w:rPr>
          <w:rStyle w:val="Code"/>
        </w:rPr>
        <w:t>id</w:t>
      </w:r>
      <w:proofErr w:type="gramEnd"/>
      <w:r w:rsidR="003D21DA">
        <w:t xml:space="preserve"> is a simple string (or </w:t>
      </w:r>
      <w:r w:rsidR="003D21DA" w:rsidRPr="003D21DA">
        <w:rPr>
          <w:rStyle w:val="Code"/>
        </w:rPr>
        <w:t>None</w:t>
      </w:r>
      <w:r w:rsidR="003D21DA">
        <w:t xml:space="preserve">), holding the rule identifier, and </w:t>
      </w:r>
      <w:r w:rsidR="003D21DA" w:rsidRPr="003D21DA">
        <w:rPr>
          <w:rStyle w:val="Code"/>
        </w:rPr>
        <w:t>after</w:t>
      </w:r>
      <w:r w:rsidR="003D21DA">
        <w:t xml:space="preserve"> is a list of strings (possibly empty) of rule identifiers which must have executed </w:t>
      </w:r>
      <w:r w:rsidR="00FA0803">
        <w:t>before</w:t>
      </w:r>
      <w:r w:rsidR="003D21DA">
        <w:t xml:space="preserve"> this rule. The </w:t>
      </w:r>
      <w:r w:rsidR="00FA0803">
        <w:t>method that must be implemented</w:t>
      </w:r>
      <w:r w:rsidR="003D21DA">
        <w:t xml:space="preserve"> is </w:t>
      </w:r>
      <w:proofErr w:type="gramStart"/>
      <w:r w:rsidR="003D21DA" w:rsidRPr="003D21DA">
        <w:rPr>
          <w:rStyle w:val="Code"/>
        </w:rPr>
        <w:t>apply(</w:t>
      </w:r>
      <w:proofErr w:type="gramEnd"/>
      <w:r w:rsidR="003D21DA">
        <w:rPr>
          <w:rStyle w:val="Code"/>
        </w:rPr>
        <w:t>sentence</w:t>
      </w:r>
      <w:r w:rsidR="003D21DA" w:rsidRPr="003D21DA">
        <w:rPr>
          <w:rStyle w:val="Code"/>
        </w:rPr>
        <w:t>)</w:t>
      </w:r>
      <w:r w:rsidR="003D21DA">
        <w:t>, which is called when this rule is to be executed. This function is called when this rule is to be executed, and is called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A97CDE" w:rsidRDefault="00A97CDE" w:rsidP="00A97CDE">
      <w:pPr>
        <w:pStyle w:val="Heading3"/>
      </w:pPr>
      <w:r>
        <w:t>The GUTime Rule Set</w:t>
      </w:r>
    </w:p>
    <w:p w:rsidR="00A97CDE" w:rsidRDefault="00B97FC6" w:rsidP="00A97CDE">
      <w:r>
        <w:t>TERNIP provides</w:t>
      </w:r>
      <w:r w:rsidR="00A97CDE">
        <w:t xml:space="preserve"> with one rule set</w:t>
      </w:r>
      <w:r>
        <w:t xml:space="preserve"> for recognition, which consists of rules translated from the GUTime </w:t>
      </w:r>
      <w:sdt>
        <w:sdtPr>
          <w:id w:val="1270347027"/>
          <w:citation/>
        </w:sdtPr>
        <w:sdtContent>
          <w:r>
            <w:fldChar w:fldCharType="begin"/>
          </w:r>
          <w:r>
            <w:instrText xml:space="preserve"> CITATION Ver05 \l 2057 </w:instrText>
          </w:r>
          <w:r>
            <w:fldChar w:fldCharType="separate"/>
          </w:r>
          <w:r w:rsidR="0013651A">
            <w:rPr>
              <w:noProof/>
            </w:rPr>
            <w:t>(Verhagen, et al., 2005)</w:t>
          </w:r>
          <w:r>
            <w:fldChar w:fldCharType="end"/>
          </w:r>
        </w:sdtContent>
      </w:sdt>
      <w:r>
        <w:t xml:space="preserve"> software</w:t>
      </w:r>
      <w:r w:rsidR="008562E5">
        <w:t xml:space="preserve">. </w:t>
      </w:r>
      <w:r w:rsidR="00922BF2">
        <w:t xml:space="preserve">These rules are largely regular expressions translated directly from the software by hand, with changes </w:t>
      </w:r>
      <w:r w:rsidR="00437490">
        <w:t>reflecting the differences in</w:t>
      </w:r>
      <w:r w:rsidR="00922BF2">
        <w:t xml:space="preserve"> pre-defined constant </w:t>
      </w:r>
      <w:r w:rsidR="00437490">
        <w:t>substitution and</w:t>
      </w:r>
      <w:r w:rsidR="00922BF2">
        <w:t xml:space="preserve"> the format for representing tokens. In cases </w:t>
      </w:r>
      <w:r w:rsidR="0021620E">
        <w:t>where rule execution in GUTime is guarded by an if-statement, this is implemented as a guard.</w:t>
      </w:r>
    </w:p>
    <w:p w:rsidR="00A64185" w:rsidRDefault="00A64185" w:rsidP="00A97CDE">
      <w:proofErr w:type="gramStart"/>
      <w:r>
        <w:t xml:space="preserve">There were three notable variations to this translation process that required </w:t>
      </w:r>
      <w:r w:rsidR="00FA0803">
        <w:t>three</w:t>
      </w:r>
      <w:r>
        <w:t xml:space="preserve"> complex rules to be implemented.</w:t>
      </w:r>
      <w:proofErr w:type="gramEnd"/>
      <w:r>
        <w:t xml:space="preserve"> The first is that for year tagging, which in addition to before and after guards, will only tag a year if it is in a certain range (between 1649 and 2000), which would be unwieldy to express in a regular expression.</w:t>
      </w:r>
    </w:p>
    <w:p w:rsidR="0073586C" w:rsidRDefault="0073586C" w:rsidP="00A97CDE">
      <w:r>
        <w:t>A second case for a complex rule is when tagging “the past”, where guards are required on the lack of presence of a timex starting in the same index. As mentioned above, the string representation of an internal format sentence does not capture this feature, so a complex rule must be written to work around it.</w:t>
      </w:r>
    </w:p>
    <w:p w:rsidR="0073586C" w:rsidRDefault="0073586C" w:rsidP="00A97CDE">
      <w:r>
        <w:t xml:space="preserve">The final case is a special case for post-processing of the annotated expressions. It will merge adjacent timexes under certain circumstances, </w:t>
      </w:r>
      <w:r w:rsidR="00FA0803">
        <w:t>and</w:t>
      </w:r>
      <w:r>
        <w:t xml:space="preserve"> removes </w:t>
      </w:r>
      <w:r w:rsidR="00FA0803">
        <w:t>over-tagged</w:t>
      </w:r>
      <w:r>
        <w:t xml:space="preserve"> embedded timexes (a timex </w:t>
      </w:r>
      <w:r w:rsidR="00FA0803">
        <w:t>that</w:t>
      </w:r>
      <w:r>
        <w:t xml:space="preserve"> is completely subsumed by another one).</w:t>
      </w:r>
    </w:p>
    <w:p w:rsidR="000E2441" w:rsidRPr="00A97CDE" w:rsidRDefault="000E2441" w:rsidP="00A97CDE">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13651A">
        <w:t>5</w:t>
      </w:r>
      <w:r>
        <w:fldChar w:fldCharType="end"/>
      </w:r>
      <w:r>
        <w:t>.</w:t>
      </w:r>
    </w:p>
    <w:p w:rsidR="0065512A" w:rsidRDefault="00072F9B" w:rsidP="00873E62">
      <w:pPr>
        <w:pStyle w:val="Heading2"/>
      </w:pPr>
      <w:bookmarkStart w:id="67" w:name="_Ref270083084"/>
      <w:bookmarkStart w:id="68" w:name="_Toc270255315"/>
      <w:r>
        <w:t>Normalisation By Rule</w:t>
      </w:r>
      <w:bookmarkEnd w:id="67"/>
      <w:bookmarkEnd w:id="68"/>
    </w:p>
    <w:p w:rsidR="003D7405" w:rsidRDefault="00FA0803" w:rsidP="003D7405">
      <w:r>
        <w:t xml:space="preserve">The normalisation rule engine has much in common with the recognition rule engine, a relationship captured by the </w:t>
      </w:r>
      <w:proofErr w:type="spellStart"/>
      <w:r w:rsidRPr="003D7405">
        <w:rPr>
          <w:rStyle w:val="Code"/>
        </w:rPr>
        <w:t>ternip.rule_engine.rule_engine</w:t>
      </w:r>
      <w:proofErr w:type="spellEnd"/>
      <w:r>
        <w:t xml:space="preserve"> </w:t>
      </w:r>
      <w:r>
        <w:lastRenderedPageBreak/>
        <w:t xml:space="preserve">superclass, which both </w:t>
      </w:r>
      <w:proofErr w:type="spellStart"/>
      <w:r w:rsidRPr="003D7405">
        <w:rPr>
          <w:rStyle w:val="Code"/>
        </w:rPr>
        <w:t>ternip.rule_engine.normalisation_rule_engine</w:t>
      </w:r>
      <w:proofErr w:type="spellEnd"/>
      <w:r>
        <w:t xml:space="preserve"> and </w:t>
      </w:r>
      <w:proofErr w:type="spellStart"/>
      <w:r w:rsidRPr="003D7405">
        <w:rPr>
          <w:rStyle w:val="Code"/>
        </w:rPr>
        <w:t>ternip.rule_engine.recognition_rule_engine</w:t>
      </w:r>
      <w:proofErr w:type="spellEnd"/>
      <w:r>
        <w:t xml:space="preserve"> subclass. </w:t>
      </w:r>
      <w:r w:rsidR="003D7405">
        <w:t>However, in order to satisfy the requirement of separation of recognition and normalisation, the rule engines are distinct components, only sharing some code where required (for example, rule loading).</w:t>
      </w:r>
    </w:p>
    <w:p w:rsidR="00B35807" w:rsidRDefault="00B35807" w:rsidP="003D7405">
      <w:r>
        <w:t>The format of rules on disk is similar to in recognition rules, and is discussed further below. Similarly, preconditions on ordering and guards, and rule blocks behave as with recognition rules.</w:t>
      </w:r>
      <w:r w:rsidR="00116544">
        <w:t xml:space="preserve"> To provide a consistent interface for writing rules, the internal format is transformed into a string representation for regular expressions in the same way, but this can be overridden to a simpler if convenient.</w:t>
      </w:r>
      <w:r w:rsidR="00123BB1">
        <w:t xml:space="preserve"> Similarly, marking up number sequences (but only if the default representation for the internal format is used) and changing the case-sensitivity of regular expressions behaves identically to in recognition rules.</w:t>
      </w:r>
    </w:p>
    <w:p w:rsidR="00123BB1" w:rsidRDefault="00123BB1" w:rsidP="003D7405">
      <w:r>
        <w:t xml:space="preserve">How execution of the normalisation rule engine precedes differs from recognition rule engine. Rules are executed on </w:t>
      </w:r>
      <w:proofErr w:type="gramStart"/>
      <w:r>
        <w:t>a per</w:t>
      </w:r>
      <w:proofErr w:type="gramEnd"/>
      <w:r>
        <w:t xml:space="preserve"> timex, rather than per sentence, level, however execution does proceed one sentence at a time (although not necessarily in the order timexes appear in the sentence).</w:t>
      </w:r>
      <w:r w:rsidR="00F93E6E">
        <w:t xml:space="preserve"> As execution proceeds, rules can also change the current “context” of the document – a base date/time </w:t>
      </w:r>
      <w:r w:rsidR="00A01B9C">
        <w:t>that</w:t>
      </w:r>
      <w:r w:rsidR="00F93E6E">
        <w:t xml:space="preserve"> rules can use to compute relative expressions. At the start of executi</w:t>
      </w:r>
      <w:r w:rsidR="00373B28">
        <w:t>on, the current context is set to</w:t>
      </w:r>
      <w:r w:rsidR="00F93E6E">
        <w:t xml:space="preserve"> creation time of the document, which is passed in along with the document to the normaliser.</w:t>
      </w:r>
      <w:r w:rsidR="00FB61A1">
        <w:t xml:space="preserve"> This creation time does not have to be a complete date-time string, although many rules rely on at the date being specified to at le</w:t>
      </w:r>
      <w:r w:rsidR="000B577E">
        <w:t>ast day granularity to operate correctly</w:t>
      </w:r>
      <w:r w:rsidR="00FB61A1">
        <w:t>.</w:t>
      </w:r>
    </w:p>
    <w:p w:rsidR="00ED596F" w:rsidRDefault="00ED596F" w:rsidP="003D7405">
      <w:r>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 are passed, which the rule uses to check its preconditions.</w:t>
      </w:r>
    </w:p>
    <w:p w:rsidR="00ED596F" w:rsidRDefault="00506547" w:rsidP="003D7405">
      <w:proofErr w:type="gramStart"/>
      <w:r>
        <w:t>As with recognition rules,</w:t>
      </w:r>
      <w:r w:rsidR="00ED596F">
        <w:t xml:space="preserve"> guards at a sentence-level, before the extent</w:t>
      </w:r>
      <w:r>
        <w:t>,</w:t>
      </w:r>
      <w:r w:rsidR="00ED596F">
        <w:t xml:space="preserve"> and </w:t>
      </w:r>
      <w:r>
        <w:t>after the extent can be set to restrict successful execution of the rule.</w:t>
      </w:r>
      <w:proofErr w:type="gramEnd"/>
      <w:r>
        <w:t xml:space="preserve"> An additional guard against the timex extent can also be set. This is required as in recognition rules, the ‘Match’ field matches against the entire extent of the expression, however in normalisation rules, the ‘Match’ field can match a subset of the expression, so an additional guard against the entire expression is required.</w:t>
      </w:r>
    </w:p>
    <w:p w:rsidR="00FB03E9" w:rsidRDefault="00FB03E9" w:rsidP="003D7405">
      <w:r>
        <w:t xml:space="preserve">In addition to these regular expression guards, a pre-condition for the timex type also exists </w:t>
      </w:r>
    </w:p>
    <w:p w:rsidR="002A2E82" w:rsidRDefault="002A2E82" w:rsidP="003D7405">
      <w:r>
        <w:t xml:space="preserve">Another difference between normalisation and recognition rules is the role of the ‘Match’ field. In recognition rules, this is used to determine the extent of the timex </w:t>
      </w:r>
      <w:r>
        <w:lastRenderedPageBreak/>
        <w:t xml:space="preserve">to tag, however in recognition </w:t>
      </w:r>
      <w:proofErr w:type="gramStart"/>
      <w:r>
        <w:t>rules,</w:t>
      </w:r>
      <w:proofErr w:type="gramEnd"/>
      <w:r>
        <w:t xml:space="preserve"> the match groups defined in the regular expression are available to expressions which set the values of the timex attributes.</w:t>
      </w:r>
    </w:p>
    <w:p w:rsidR="002A2E82" w:rsidRDefault="002A2E82" w:rsidP="003D7405">
      <w:r>
        <w:t>As mentioned above, an alternate representation of the internal form can be used against which regular expressions can match.</w:t>
      </w:r>
      <w:r w:rsidR="00584C39">
        <w:t xml:space="preserve"> This alternate representation </w:t>
      </w:r>
      <w:r w:rsidR="0013250D">
        <w:t>does not contain part-of-speech information, but this is not necessarily considered by all rules so the optional omission is acceptable. In this format, tokens are simply joined by an optional delimiter</w:t>
      </w:r>
      <w:r w:rsidR="002154F5">
        <w:t xml:space="preserve">. </w:t>
      </w:r>
      <w:r w:rsidR="002154F5">
        <w:fldChar w:fldCharType="begin"/>
      </w:r>
      <w:r w:rsidR="002154F5">
        <w:instrText xml:space="preserve"> REF _Ref270249362 \h </w:instrText>
      </w:r>
      <w:r w:rsidR="002154F5">
        <w:fldChar w:fldCharType="separate"/>
      </w:r>
      <w:r w:rsidR="0013651A">
        <w:t xml:space="preserve">Sample </w:t>
      </w:r>
      <w:r w:rsidR="0013651A">
        <w:rPr>
          <w:noProof/>
        </w:rPr>
        <w:t>6</w:t>
      </w:r>
      <w:r w:rsidR="002154F5">
        <w:fldChar w:fldCharType="end"/>
      </w:r>
      <w:r w:rsidR="002154F5">
        <w:t xml:space="preserve"> shows an example of such a representation</w:t>
      </w:r>
      <w:r w:rsidR="00291AC2">
        <w:t>, showing the simplicity</w:t>
      </w:r>
      <w:r w:rsidR="002154F5">
        <w:t xml:space="preserve"> of the detokenisation process</w:t>
      </w:r>
      <w:r w:rsidR="00291AC2">
        <w:t>, i.e., the space between the token “1979” and the full stop.</w:t>
      </w:r>
    </w:p>
    <w:p w:rsidR="0013250D" w:rsidRDefault="0013250D" w:rsidP="0013250D">
      <w:pPr>
        <w:pBdr>
          <w:top w:val="single" w:sz="4" w:space="1" w:color="auto"/>
          <w:left w:val="single" w:sz="4" w:space="4" w:color="auto"/>
          <w:bottom w:val="single" w:sz="4" w:space="1" w:color="auto"/>
          <w:right w:val="single" w:sz="4" w:space="4" w:color="auto"/>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proofErr w:type="gramStart"/>
      <w:r w:rsidRPr="001A6585">
        <w:rPr>
          <w:rStyle w:val="Code"/>
        </w:rPr>
        <w:t>1979</w:t>
      </w:r>
      <w:r>
        <w:rPr>
          <w:rStyle w:val="Code"/>
        </w:rPr>
        <w:t xml:space="preserve"> </w:t>
      </w:r>
      <w:r w:rsidRPr="001A6585">
        <w:rPr>
          <w:rStyle w:val="Code"/>
        </w:rPr>
        <w:t>.</w:t>
      </w:r>
      <w:proofErr w:type="gramEnd"/>
    </w:p>
    <w:p w:rsidR="002154F5" w:rsidRDefault="002154F5" w:rsidP="002154F5">
      <w:pPr>
        <w:pStyle w:val="Caption"/>
      </w:pPr>
      <w:bookmarkStart w:id="69" w:name="_Ref270249362"/>
      <w:r>
        <w:t xml:space="preserve">Sample </w:t>
      </w:r>
      <w:r>
        <w:fldChar w:fldCharType="begin"/>
      </w:r>
      <w:r>
        <w:instrText xml:space="preserve"> SEQ Sample \* ARABIC </w:instrText>
      </w:r>
      <w:r>
        <w:fldChar w:fldCharType="separate"/>
      </w:r>
      <w:r w:rsidR="00C46885">
        <w:rPr>
          <w:noProof/>
        </w:rPr>
        <w:t>6</w:t>
      </w:r>
      <w:r>
        <w:fldChar w:fldCharType="end"/>
      </w:r>
      <w:bookmarkEnd w:id="69"/>
      <w:r>
        <w:t xml:space="preserve"> - a single sentence using a simple string representation and a space separator</w:t>
      </w:r>
    </w:p>
    <w:p w:rsidR="00FB03E9" w:rsidRPr="00FB03E9" w:rsidRDefault="00FB03E9" w:rsidP="00FB03E9">
      <w:r>
        <w:t>An additional restriction with the simpler string representation is that number sequence</w:t>
      </w:r>
      <w:r w:rsidR="00076193">
        <w:t xml:space="preserve">s cannot be annotated, as this process requires for the token delimiters </w:t>
      </w:r>
      <w:proofErr w:type="spellStart"/>
      <w:r w:rsidR="00076193">
        <w:t>t</w:t>
      </w:r>
      <w:proofErr w:type="spellEnd"/>
      <w:r w:rsidR="00076193">
        <w:t xml:space="preserve"> be present.</w:t>
      </w:r>
    </w:p>
    <w:p w:rsidR="00FB03E9" w:rsidRDefault="00FB03E9" w:rsidP="009E524D">
      <w:r>
        <w:t xml:space="preserve">If the ordering pre-conditions </w:t>
      </w:r>
      <w:proofErr w:type="gramStart"/>
      <w:r>
        <w:t>pass,</w:t>
      </w:r>
      <w:proofErr w:type="gramEnd"/>
      <w:r>
        <w:t xml:space="preserve"> and the rule is executed, then the guards are first checked, and then the ‘Match’ regular expression. If a match is found, then then Python expressions are executed (if the rule has one) and their values assigned to the appropriate </w:t>
      </w:r>
      <w:r w:rsidR="00877F74">
        <w:t>attribute on the object.</w:t>
      </w:r>
    </w:p>
    <w:p w:rsidR="002722ED" w:rsidRDefault="002722ED" w:rsidP="009E524D">
      <w:r>
        <w:t xml:space="preserve">These expressions are unrestricted in what they can </w:t>
      </w:r>
      <w:r w:rsidR="00B901D9">
        <w:t>execute;</w:t>
      </w:r>
      <w:r>
        <w:t xml:space="preserve"> however</w:t>
      </w:r>
      <w:r w:rsidR="00B901D9">
        <w:t>,</w:t>
      </w:r>
      <w:r>
        <w:t xml:space="preserve"> care needs to be taken to ensure they do not interfere with the execution of the rule engine, which would result in undesirable results.</w:t>
      </w:r>
      <w:r w:rsidR="00B901D9">
        <w:t xml:space="preserve"> In order to help the normalisation process, a series of helper functions have been defined. These are discussed further in section </w:t>
      </w:r>
      <w:r w:rsidR="00B901D9">
        <w:fldChar w:fldCharType="begin"/>
      </w:r>
      <w:r w:rsidR="00B901D9">
        <w:instrText xml:space="preserve"> REF _Ref270250370 \r \h </w:instrText>
      </w:r>
      <w:r w:rsidR="00B901D9">
        <w:fldChar w:fldCharType="separate"/>
      </w:r>
      <w:r w:rsidR="0013651A">
        <w:t>4.3.3</w:t>
      </w:r>
      <w:r w:rsidR="00B901D9">
        <w:fldChar w:fldCharType="end"/>
      </w:r>
      <w:r w:rsidR="00B901D9">
        <w:t>.</w:t>
      </w:r>
    </w:p>
    <w:p w:rsidR="00EE585A" w:rsidRDefault="00B901D9" w:rsidP="009E524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proofErr w:type="spellStart"/>
      <w:proofErr w:type="gramStart"/>
      <w:r w:rsidRPr="00297D16">
        <w:rPr>
          <w:rStyle w:val="Code"/>
        </w:rPr>
        <w:t>match.group</w:t>
      </w:r>
      <w:proofErr w:type="spellEnd"/>
      <w:r w:rsidRPr="00297D16">
        <w:rPr>
          <w:rStyle w:val="Code"/>
        </w:rPr>
        <w:t>(</w:t>
      </w:r>
      <w:proofErr w:type="gramEnd"/>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r w:rsidR="00297D16">
        <w:t>)</w:t>
      </w:r>
      <w:r>
        <w:t>.</w:t>
      </w:r>
    </w:p>
    <w:p w:rsidR="00B901D9" w:rsidRPr="00B901D9" w:rsidRDefault="00B901D9" w:rsidP="009E524D">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w:t>
      </w:r>
      <w:r w:rsidR="00F653D9">
        <w:t>determining</w:t>
      </w:r>
      <w:r>
        <w:t xml:space="preserve"> which match group to use</w:t>
      </w:r>
      <w:r w:rsidR="00F653D9">
        <w:t xml:space="preserve"> in expression</w:t>
      </w:r>
      <w:r>
        <w:t xml:space="preserve">, </w:t>
      </w:r>
      <w:r w:rsidR="004A6077">
        <w:t>these must be taken in to account.</w:t>
      </w:r>
    </w:p>
    <w:p w:rsidR="00A538CE" w:rsidRDefault="00A538CE" w:rsidP="00A538CE">
      <w:pPr>
        <w:pStyle w:val="Heading3"/>
      </w:pPr>
      <w:r>
        <w:t>Simple Rule Files</w:t>
      </w:r>
    </w:p>
    <w:p w:rsidR="00A538CE" w:rsidRPr="00A538CE" w:rsidRDefault="00664E0B" w:rsidP="00A538CE">
      <w:r>
        <w:t>As with recognition rules, the easiest way to load normalisation rules into the rule engine is via files on disk.</w:t>
      </w:r>
      <w:r w:rsidR="0013651A">
        <w:t xml:space="preserve"> These files follow the same format as the recognition </w:t>
      </w:r>
      <w:r w:rsidR="0013651A">
        <w:lastRenderedPageBreak/>
        <w:t xml:space="preserve">rules, but with differing allowed fields and </w:t>
      </w:r>
      <w:r w:rsidR="00553108">
        <w:t xml:space="preserve">their meanings, corresponding to the description of normalisation rules given above. </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97C68">
            <w:r>
              <w:t>The rule identifier: an optional string that can be defined no more than once, which can be referred to by other rules to express an ordering</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97C68">
            <w:r>
              <w:t>The identifier of a rule whose execution must have preceded the execution of this rule: an optional string, that can be defined multiple times to define multiple dependencies</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E11724" w:rsidP="00553108">
            <w:r>
              <w:t>A guard against the type of timex which this rule will normalise</w:t>
            </w:r>
            <w:r w:rsidR="00680C35">
              <w:t xml:space="preserve"> that is matched as a string case-insensitively</w:t>
            </w:r>
            <w:r>
              <w:t>: this is an optional string which can exist only once</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80C35">
            <w:r>
              <w:t xml:space="preserve">The regular expression </w:t>
            </w:r>
            <w:r w:rsidR="00680C35">
              <w:t>that the extent of the timex must match for this rule to execute – the groups in this expression are exposed to the expressions below</w:t>
            </w:r>
            <w:r>
              <w:t>: this is a compulsory field that can exist only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proofErr w:type="gramStart"/>
            <w:r>
              <w:t>A guard</w:t>
            </w:r>
            <w:r w:rsidR="005A2794">
              <w:t xml:space="preserve"> against the timex extent</w:t>
            </w:r>
            <w:r>
              <w:t xml:space="preserve">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after-</w:t>
            </w:r>
            <w:r w:rsidR="005A2794">
              <w:t>extent</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before-</w:t>
            </w:r>
            <w:r w:rsidR="005A2794">
              <w:t>extent</w:t>
            </w:r>
            <w:r>
              <w:t xml:space="preserve"> guard for this rule: this follows the same format as the ‘Guard’ key</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 xml:space="preserve">The </w:t>
            </w:r>
            <w:r w:rsidR="005A2794">
              <w:t>sentence-level</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Value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697C68">
            <w:pPr>
              <w:keepNext/>
            </w:pPr>
            <w:r>
              <w:t>A Python expression</w:t>
            </w:r>
            <w:r w:rsidR="00764CE3">
              <w:t xml:space="preserve"> (pre-processed as explained above)</w:t>
            </w:r>
            <w:r>
              <w:t xml:space="preserve"> which is evaluated to set </w:t>
            </w:r>
            <w:r w:rsidR="00A41A94">
              <w:t>the ‘value’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‘type’ attribute on the timex: an optional value which can exist no more 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Freq</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‘freq’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Quant</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‘quant’ attribute on the timex: an optional value which can exist no more </w:t>
            </w:r>
            <w:r>
              <w:lastRenderedPageBreak/>
              <w:t>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lastRenderedPageBreak/>
              <w:t>Mod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‘mod’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C369B4">
            <w:pPr>
              <w:keepNext/>
            </w:pPr>
            <w:r>
              <w:t>How the internal format is represented as a string for regular expressions: if omitted or ‘true’ then the default representation is used, otherwise the value is used as the delimiter between tokens (the special strings ‘space’ and ‘null’ represent a single space and no delimiter respectively)</w:t>
            </w:r>
          </w:p>
        </w:tc>
      </w:tr>
      <w:tr w:rsidR="005A2794"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A2794" w:rsidRDefault="005A2794"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5A2794" w:rsidRDefault="005A2794" w:rsidP="00697C68">
            <w:pPr>
              <w:keepNext/>
            </w:pPr>
            <w:r>
              <w:t>Whether number sequences should be marked up in the text before being presented to a regular expression: an optional Boolean (the strings ‘true’ or ‘false’), that can exist no more than once, and if omitted, defaults to false</w:t>
            </w:r>
          </w:p>
        </w:tc>
      </w:tr>
    </w:tbl>
    <w:p w:rsidR="00873E62" w:rsidRDefault="00873E62" w:rsidP="00873E62">
      <w:pPr>
        <w:pStyle w:val="Caption"/>
      </w:pPr>
      <w:r>
        <w:t xml:space="preserve">Table </w:t>
      </w:r>
      <w:r w:rsidR="005175C7">
        <w:fldChar w:fldCharType="begin"/>
      </w:r>
      <w:r w:rsidR="005175C7">
        <w:instrText xml:space="preserve"> SEQ Table \* ARABIC </w:instrText>
      </w:r>
      <w:r w:rsidR="005175C7">
        <w:fldChar w:fldCharType="separate"/>
      </w:r>
      <w:r w:rsidR="0013651A">
        <w:rPr>
          <w:noProof/>
        </w:rPr>
        <w:t>4</w:t>
      </w:r>
      <w:r w:rsidR="005175C7">
        <w:fldChar w:fldCharType="end"/>
      </w:r>
      <w:r>
        <w:t xml:space="preserve"> -</w:t>
      </w:r>
      <w:r w:rsidRPr="00CB366F">
        <w:t xml:space="preserve"> Accepted fields in </w:t>
      </w:r>
      <w:r>
        <w:t>normalisation</w:t>
      </w:r>
      <w:r w:rsidRPr="00CB366F">
        <w:t xml:space="preserve"> rule definitions</w:t>
      </w:r>
    </w:p>
    <w:p w:rsidR="00664E0B" w:rsidRDefault="00664E0B" w:rsidP="003663C5">
      <w:pPr>
        <w:pBdr>
          <w:top w:val="single" w:sz="4" w:space="1" w:color="auto"/>
          <w:left w:val="single" w:sz="4" w:space="4" w:color="auto"/>
          <w:bottom w:val="single" w:sz="4" w:space="1" w:color="auto"/>
          <w:right w:val="single" w:sz="4" w:space="4" w:color="auto"/>
        </w:pBdr>
        <w:jc w:val="left"/>
        <w:rPr>
          <w:rStyle w:val="Code"/>
        </w:rPr>
      </w:pPr>
      <w:r w:rsidRPr="00664E0B">
        <w:rPr>
          <w:rStyle w:val="Code"/>
        </w:rPr>
        <w:t>Type: date</w:t>
      </w:r>
      <w:r w:rsidR="003663C5">
        <w:rPr>
          <w:rStyle w:val="Code"/>
        </w:rPr>
        <w:br/>
      </w:r>
      <w:r w:rsidRPr="00664E0B">
        <w:rPr>
          <w:rStyle w:val="Code"/>
        </w:rPr>
        <w:t>Guard: (</w:t>
      </w:r>
      <w:proofErr w:type="spellStart"/>
      <w:r w:rsidRPr="00664E0B">
        <w:rPr>
          <w:rStyle w:val="Code"/>
        </w:rPr>
        <w:t>last|past</w:t>
      </w:r>
      <w:proofErr w:type="spellEnd"/>
      <w:r w:rsidRPr="00664E0B">
        <w:rPr>
          <w:rStyle w:val="Code"/>
        </w:rPr>
        <w:t>)</w:t>
      </w:r>
      <w:r w:rsidR="003663C5">
        <w:rPr>
          <w:rStyle w:val="Code"/>
        </w:rPr>
        <w:br/>
      </w:r>
      <w:r w:rsidRPr="00664E0B">
        <w:rPr>
          <w:rStyle w:val="Code"/>
        </w:rPr>
        <w:t>Guard: !&lt;(</w:t>
      </w:r>
      <w:proofErr w:type="spellStart"/>
      <w:r w:rsidRPr="00664E0B">
        <w:rPr>
          <w:rStyle w:val="Code"/>
        </w:rPr>
        <w:t>shrove|ash|good|palm|easter</w:t>
      </w:r>
      <w:proofErr w:type="spellEnd"/>
      <w:r w:rsidRPr="00664E0B">
        <w:rPr>
          <w:rStyle w:val="Code"/>
        </w:rPr>
        <w:t>)~.+&gt;</w:t>
      </w:r>
      <w:r w:rsidR="003663C5">
        <w:rPr>
          <w:rStyle w:val="Code"/>
        </w:rPr>
        <w:br/>
      </w:r>
      <w:r w:rsidRPr="00664E0B">
        <w:rPr>
          <w:rStyle w:val="Code"/>
        </w:rPr>
        <w:t>Before-Guard: !&lt;(</w:t>
      </w:r>
      <w:proofErr w:type="spellStart"/>
      <w:r w:rsidRPr="00664E0B">
        <w:rPr>
          <w:rStyle w:val="Code"/>
        </w:rPr>
        <w:t>the|a</w:t>
      </w:r>
      <w:proofErr w:type="spellEnd"/>
      <w:r w:rsidRPr="00664E0B">
        <w:rPr>
          <w:rStyle w:val="Code"/>
        </w:rPr>
        <w:t>)~.+&gt;$</w:t>
      </w:r>
      <w:r w:rsidR="003663C5">
        <w:rPr>
          <w:rStyle w:val="Code"/>
        </w:rPr>
        <w:br/>
        <w:t>Match: &lt;($DAYS)~.+&gt;</w:t>
      </w:r>
      <w:r w:rsidR="003663C5">
        <w:rPr>
          <w:rStyle w:val="Code"/>
        </w:rPr>
        <w:br/>
      </w:r>
      <w:r w:rsidRPr="00664E0B">
        <w:rPr>
          <w:rStyle w:val="Code"/>
        </w:rPr>
        <w:t xml:space="preserve">Value: </w:t>
      </w:r>
      <w:proofErr w:type="spellStart"/>
      <w:r w:rsidRPr="00664E0B">
        <w:rPr>
          <w:rStyle w:val="Code"/>
        </w:rPr>
        <w:t>compute_offset_base</w:t>
      </w:r>
      <w:proofErr w:type="spellEnd"/>
      <w:r w:rsidRPr="00664E0B">
        <w:rPr>
          <w:rStyle w:val="Code"/>
        </w:rPr>
        <w:t>(</w:t>
      </w:r>
      <w:proofErr w:type="spellStart"/>
      <w:r w:rsidRPr="00664E0B">
        <w:rPr>
          <w:rStyle w:val="Code"/>
        </w:rPr>
        <w:t>cur_context</w:t>
      </w:r>
      <w:proofErr w:type="spellEnd"/>
      <w:r w:rsidRPr="00664E0B">
        <w:rPr>
          <w:rStyle w:val="Code"/>
        </w:rPr>
        <w:t>, {#1}, -1)</w:t>
      </w:r>
    </w:p>
    <w:p w:rsidR="003663C5" w:rsidRPr="00664E0B" w:rsidRDefault="003663C5" w:rsidP="003663C5">
      <w:pPr>
        <w:pStyle w:val="Caption"/>
        <w:rPr>
          <w:rStyle w:val="Code"/>
        </w:rPr>
      </w:pPr>
      <w:r>
        <w:t xml:space="preserve">Sample </w:t>
      </w:r>
      <w:r>
        <w:fldChar w:fldCharType="begin"/>
      </w:r>
      <w:r>
        <w:instrText xml:space="preserve"> SEQ Sample \* ARABIC </w:instrText>
      </w:r>
      <w:r>
        <w:fldChar w:fldCharType="separate"/>
      </w:r>
      <w:r w:rsidR="00C46885">
        <w:rPr>
          <w:noProof/>
        </w:rPr>
        <w:t>7</w:t>
      </w:r>
      <w:r>
        <w:fldChar w:fldCharType="end"/>
      </w:r>
      <w:r>
        <w:t xml:space="preserve"> - a more complex normalisation rule for normalising expressions like “Last Tuesday”</w:t>
      </w:r>
    </w:p>
    <w:p w:rsidR="00A538CE" w:rsidRDefault="00664E0B" w:rsidP="00A538CE">
      <w:r>
        <w:t>T</w:t>
      </w:r>
      <w:r w:rsidR="0037752A">
        <w:t xml:space="preserve">hese rules can also be structured into blocks of rules, as described in section </w:t>
      </w:r>
      <w:r w:rsidR="0037752A">
        <w:fldChar w:fldCharType="begin"/>
      </w:r>
      <w:r w:rsidR="0037752A">
        <w:instrText xml:space="preserve"> REF _Ref270082191 \r \h </w:instrText>
      </w:r>
      <w:r w:rsidR="0037752A">
        <w:fldChar w:fldCharType="separate"/>
      </w:r>
      <w:r w:rsidR="0013651A">
        <w:t>4.2.1</w:t>
      </w:r>
      <w:r w:rsidR="0037752A">
        <w:fldChar w:fldCharType="end"/>
      </w:r>
      <w:r w:rsidR="0037752A">
        <w:t xml:space="preserve">, except where the allowed keys and values follow the format for normalisation rules described above. As with recognition rules, normalisation rules in a rule block differ from single ones in ordering conditions – </w:t>
      </w:r>
      <w:r w:rsidR="00C75CF2">
        <w:t>‘</w:t>
      </w:r>
      <w:r w:rsidR="0037752A">
        <w:t>ID</w:t>
      </w:r>
      <w:r w:rsidR="00C75CF2">
        <w:t>’</w:t>
      </w:r>
      <w:r w:rsidR="0037752A">
        <w:t xml:space="preserve"> and </w:t>
      </w:r>
      <w:r w:rsidR="00C75CF2">
        <w:t>‘</w:t>
      </w:r>
      <w:r w:rsidR="0037752A">
        <w:t>After</w:t>
      </w:r>
      <w:r w:rsidR="00C75CF2">
        <w:t>’</w:t>
      </w:r>
      <w:r w:rsidR="0037752A">
        <w:t xml:space="preserve"> are invalid in a rule block.</w:t>
      </w:r>
    </w:p>
    <w:p w:rsidR="0021424D" w:rsidRDefault="0021424D" w:rsidP="0021424D">
      <w:pPr>
        <w:pStyle w:val="Heading3"/>
      </w:pPr>
      <w:r>
        <w:t>Complex Rule Files</w:t>
      </w:r>
    </w:p>
    <w:p w:rsidR="0021424D" w:rsidRDefault="00697C68" w:rsidP="0021424D">
      <w:r>
        <w:t xml:space="preserve">Complex rule files are also supported by the normalisation engine. These are files containing a Python class called ‘rule’ </w:t>
      </w:r>
      <w:r w:rsidR="009C33FD">
        <w:t>that are loaded by the rule engine, and the class instantiated and added to the list of rules in the rule engine.</w:t>
      </w:r>
    </w:p>
    <w:p w:rsidR="00393381" w:rsidRDefault="009C33FD" w:rsidP="009C33FD">
      <w:r>
        <w:t xml:space="preserve">These rules use the same attributes as for recognition rules to define the ordering pre-conditions: </w:t>
      </w:r>
      <w:r w:rsidRPr="009C33FD">
        <w:rPr>
          <w:rStyle w:val="Code"/>
        </w:rPr>
        <w:t>id</w:t>
      </w:r>
      <w:r>
        <w:t xml:space="preserve"> and </w:t>
      </w:r>
      <w:r w:rsidRPr="009C33FD">
        <w:rPr>
          <w:rStyle w:val="Code"/>
        </w:rPr>
        <w:t>after</w:t>
      </w:r>
      <w:r>
        <w:t xml:space="preserve">. However, the function that is called when this rule is to be executed differs from recognition rules: </w:t>
      </w:r>
      <w:proofErr w:type="gramStart"/>
      <w:r w:rsidR="00393381">
        <w:rPr>
          <w:rStyle w:val="Code"/>
        </w:rPr>
        <w:t>apply(</w:t>
      </w:r>
      <w:proofErr w:type="gramEnd"/>
      <w:r w:rsidRPr="009C33FD">
        <w:rPr>
          <w:rStyle w:val="Code"/>
        </w:rPr>
        <w:t xml:space="preserve">timex, </w:t>
      </w:r>
      <w:proofErr w:type="spellStart"/>
      <w:r w:rsidRPr="009C33FD">
        <w:rPr>
          <w:rStyle w:val="Code"/>
        </w:rPr>
        <w:t>cur</w:t>
      </w:r>
      <w:r>
        <w:rPr>
          <w:rStyle w:val="Code"/>
        </w:rPr>
        <w:t>rent</w:t>
      </w:r>
      <w:r w:rsidRPr="009C33FD">
        <w:rPr>
          <w:rStyle w:val="Code"/>
        </w:rPr>
        <w:t>_context</w:t>
      </w:r>
      <w:proofErr w:type="spellEnd"/>
      <w:r w:rsidRPr="009C33FD">
        <w:rPr>
          <w:rStyle w:val="Code"/>
        </w:rPr>
        <w:t xml:space="preserve">, </w:t>
      </w:r>
      <w:proofErr w:type="spellStart"/>
      <w:r w:rsidRPr="009C33FD">
        <w:rPr>
          <w:rStyle w:val="Code"/>
        </w:rPr>
        <w:t>d</w:t>
      </w:r>
      <w:r>
        <w:rPr>
          <w:rStyle w:val="Code"/>
        </w:rPr>
        <w:t>ocument_</w:t>
      </w:r>
      <w:r w:rsidRPr="009C33FD">
        <w:rPr>
          <w:rStyle w:val="Code"/>
        </w:rPr>
        <w:t>c</w:t>
      </w:r>
      <w:r>
        <w:rPr>
          <w:rStyle w:val="Code"/>
        </w:rPr>
        <w:t>reation_</w:t>
      </w:r>
      <w:r w:rsidRPr="009C33FD">
        <w:rPr>
          <w:rStyle w:val="Code"/>
        </w:rPr>
        <w:t>t</w:t>
      </w:r>
      <w:r>
        <w:rPr>
          <w:rStyle w:val="Code"/>
        </w:rPr>
        <w:t>ime</w:t>
      </w:r>
      <w:proofErr w:type="spellEnd"/>
      <w:r w:rsidRPr="009C33FD">
        <w:rPr>
          <w:rStyle w:val="Code"/>
        </w:rPr>
        <w:t>, body, before, after)</w:t>
      </w:r>
      <w:r w:rsidRPr="009C33FD">
        <w:t>.</w:t>
      </w:r>
      <w:r w:rsidR="00393381">
        <w:t xml:space="preserve"> This rule is e</w:t>
      </w:r>
      <w:r w:rsidR="003E1130">
        <w:t>xpected to return a tuple consisting of a Boolean indicating whether it successfully executed and a date/time string containing the temporal context of this sentence (which this timex may have changed).</w:t>
      </w:r>
    </w:p>
    <w:p w:rsidR="0021424D" w:rsidRDefault="0021424D" w:rsidP="0021424D">
      <w:pPr>
        <w:pStyle w:val="Heading3"/>
      </w:pPr>
      <w:bookmarkStart w:id="70" w:name="_Ref270250370"/>
      <w:r>
        <w:t>Normalisation Support Functions</w:t>
      </w:r>
      <w:bookmarkEnd w:id="70"/>
    </w:p>
    <w:p w:rsidR="003E1130" w:rsidRDefault="003E1130" w:rsidP="003E1130">
      <w:r>
        <w:t xml:space="preserve">Many expressions contain patterns in the process they are converted </w:t>
      </w:r>
      <w:r w:rsidR="0073242C">
        <w:t xml:space="preserve">to an ISO 8601 representation. Normal software engineering practice would encourage </w:t>
      </w:r>
      <w:r w:rsidR="0073242C">
        <w:lastRenderedPageBreak/>
        <w:t xml:space="preserve">abstraction of these patterns into functions that can be reused, however the simple rule format does not allow for definition of Python functions. To allow these abstractions to be developed and their benefits to be realised, TERNIP provides the sub-package </w:t>
      </w:r>
      <w:proofErr w:type="spellStart"/>
      <w:r w:rsidR="0073242C" w:rsidRPr="0073242C">
        <w:rPr>
          <w:rStyle w:val="Code"/>
        </w:rPr>
        <w:t>ternip.rule_engine.normalisation_functions</w:t>
      </w:r>
      <w:proofErr w:type="spellEnd"/>
      <w:r w:rsidR="0073242C">
        <w:t xml:space="preserve"> that contains</w:t>
      </w:r>
      <w:r w:rsidR="005951A8">
        <w:t xml:space="preserve"> generic functions that rules can use.</w:t>
      </w:r>
    </w:p>
    <w:p w:rsidR="00A51854" w:rsidRDefault="00A51854" w:rsidP="003E1130">
      <w:r>
        <w:t xml:space="preserve">Many of these functions were converted from GUTime </w:t>
      </w:r>
      <w:sdt>
        <w:sdtPr>
          <w:id w:val="49655601"/>
          <w:citation/>
        </w:sdtPr>
        <w:sdtContent>
          <w:r>
            <w:fldChar w:fldCharType="begin"/>
          </w:r>
          <w:r>
            <w:instrText xml:space="preserve"> CITATION Ver05 \l 2057 </w:instrText>
          </w:r>
          <w:r>
            <w:fldChar w:fldCharType="separate"/>
          </w:r>
          <w:r>
            <w:rPr>
              <w:noProof/>
            </w:rPr>
            <w:t>(Verhagen, et al., 2005)</w:t>
          </w:r>
          <w:r>
            <w:fldChar w:fldCharType="end"/>
          </w:r>
        </w:sdtContent>
      </w:sdt>
      <w:r>
        <w:t>, tweaked to work in a more Pythonic way, but others were considerably expanded from their GUTime functionality, and more newly created.</w:t>
      </w:r>
    </w:p>
    <w:p w:rsidR="00401F2F" w:rsidRDefault="00A51854" w:rsidP="003E1130">
      <w:r>
        <w:t>These functions are classified into one of three classes: string conversions, date calculations, and relative date manipulations.</w:t>
      </w:r>
      <w:r w:rsidR="00401F2F">
        <w:t xml:space="preserve"> An additional subclass of string conversion functions is also provided, which convert sequences of number-words (or ordinals) to their integer values. This follows the algorithm implemented in GUTime </w:t>
      </w:r>
      <w:sdt>
        <w:sdtPr>
          <w:id w:val="-1790887936"/>
          <w:citation/>
        </w:sdtPr>
        <w:sdtContent>
          <w:r w:rsidR="00401F2F">
            <w:fldChar w:fldCharType="begin"/>
          </w:r>
          <w:r w:rsidR="00401F2F">
            <w:instrText xml:space="preserve"> CITATION Ver05 \l 2057 </w:instrText>
          </w:r>
          <w:r w:rsidR="00401F2F">
            <w:fldChar w:fldCharType="separate"/>
          </w:r>
          <w:r w:rsidR="00401F2F">
            <w:rPr>
              <w:noProof/>
            </w:rPr>
            <w:t>(Verhagen, et al., 2005)</w:t>
          </w:r>
          <w:r w:rsidR="00401F2F">
            <w:fldChar w:fldCharType="end"/>
          </w:r>
        </w:sdtContent>
      </w:sdt>
      <w:r w:rsidR="00401F2F">
        <w:t>, with an extension to support mixed integer and word sequences (e.g., “6 thousand”).</w:t>
      </w:r>
    </w:p>
    <w:p w:rsidR="00A51854" w:rsidRDefault="004A7B8E" w:rsidP="003E1130">
      <w:r>
        <w:t>Other s</w:t>
      </w:r>
      <w:r w:rsidR="00396E1A">
        <w:t>tring conversion functions include ones that take a season name (e.g., ‘spring’) and return the corresponding identifier for use in a value field (i.e., ‘SP’</w:t>
      </w:r>
      <w:r w:rsidR="00401F2F">
        <w:t xml:space="preserve">), and date calculation functions include </w:t>
      </w:r>
      <w:proofErr w:type="spellStart"/>
      <w:r w:rsidR="00401F2F" w:rsidRPr="00401F2F">
        <w:rPr>
          <w:rStyle w:val="Code"/>
        </w:rPr>
        <w:t>date_to_week</w:t>
      </w:r>
      <w:proofErr w:type="spellEnd"/>
      <w:r w:rsidR="00401F2F">
        <w:t>, which converts a date to a week granularity string containing the week number (e.g., ‘2010W26’). These functions are documented using inline documentation.</w:t>
      </w:r>
    </w:p>
    <w:p w:rsidR="008D4CDA" w:rsidRDefault="00401F2F" w:rsidP="003E1130">
      <w:r>
        <w:t>The final set of functions relate to calculations of offsets from dates. Three functions are provided</w:t>
      </w:r>
      <w:r w:rsidR="007A0911">
        <w:t xml:space="preserve">: </w:t>
      </w:r>
      <w:proofErr w:type="spellStart"/>
      <w:r w:rsidR="007A0911" w:rsidRPr="007A0911">
        <w:rPr>
          <w:rStyle w:val="Code"/>
        </w:rPr>
        <w:t>offset_from_date</w:t>
      </w:r>
      <w:proofErr w:type="spellEnd"/>
      <w:r w:rsidR="007A0911">
        <w:t xml:space="preserve">, </w:t>
      </w:r>
      <w:proofErr w:type="spellStart"/>
      <w:proofErr w:type="gramStart"/>
      <w:r w:rsidR="007A0911" w:rsidRPr="007A0911">
        <w:rPr>
          <w:rStyle w:val="Code"/>
        </w:rPr>
        <w:t>compute_offset_base</w:t>
      </w:r>
      <w:proofErr w:type="spellEnd"/>
      <w:proofErr w:type="gramEnd"/>
      <w:r w:rsidR="007A0911">
        <w:t xml:space="preserve"> and </w:t>
      </w:r>
      <w:proofErr w:type="spellStart"/>
      <w:r w:rsidR="007A0911" w:rsidRPr="007A0911">
        <w:rPr>
          <w:rStyle w:val="Code"/>
        </w:rPr>
        <w:t>relative_direction_heuristic</w:t>
      </w:r>
      <w:proofErr w:type="spellEnd"/>
      <w:r w:rsidR="007A0911">
        <w:t>.</w:t>
      </w:r>
    </w:p>
    <w:p w:rsidR="007A0911" w:rsidRDefault="007A0911" w:rsidP="003E1130">
      <w:r>
        <w:t xml:space="preserve">The first function takes a base date/time, the offset value, the unit of the offset (e.g., day, month, </w:t>
      </w:r>
      <w:proofErr w:type="spellStart"/>
      <w:proofErr w:type="gramStart"/>
      <w:r>
        <w:t>etc</w:t>
      </w:r>
      <w:proofErr w:type="spellEnd"/>
      <w:r>
        <w:t>)</w:t>
      </w:r>
      <w:proofErr w:type="gramEnd"/>
      <w:r>
        <w:t xml:space="preserve"> and whether the resulting date/time should be of the original granularity, or the granularity of the offset made.</w:t>
      </w:r>
      <w:r w:rsidR="008D4CDA">
        <w:t xml:space="preserve"> </w:t>
      </w:r>
      <w:r>
        <w:t xml:space="preserve">Although this function was originally </w:t>
      </w:r>
      <w:r w:rsidR="008D4CDA">
        <w:t>included with</w:t>
      </w:r>
      <w:r>
        <w:t xml:space="preserve"> GUTime, it has been substantially rewritten to make it more resilient, and uses Python’s </w:t>
      </w:r>
      <w:proofErr w:type="spellStart"/>
      <w:r w:rsidRPr="008D4CDA">
        <w:rPr>
          <w:rStyle w:val="Code"/>
        </w:rPr>
        <w:t>datetime</w:t>
      </w:r>
      <w:proofErr w:type="spellEnd"/>
      <w:r>
        <w:t xml:space="preserve"> module to </w:t>
      </w:r>
      <w:r w:rsidR="00811407">
        <w:t>provide</w:t>
      </w:r>
      <w:r>
        <w:t xml:space="preserve"> much of the logic.</w:t>
      </w:r>
    </w:p>
    <w:p w:rsidR="008D4CDA" w:rsidRDefault="008D4CDA" w:rsidP="003E1130">
      <w:r>
        <w:t xml:space="preserve">The </w:t>
      </w:r>
      <w:proofErr w:type="spellStart"/>
      <w:r w:rsidRPr="008D4CDA">
        <w:rPr>
          <w:rStyle w:val="Code"/>
        </w:rPr>
        <w:t>compute_offset_base</w:t>
      </w:r>
      <w:proofErr w:type="spellEnd"/>
      <w:r>
        <w:t xml:space="preserve"> function will take simple relative expressions (such as ‘yesterday’, ‘Wednesday’ or ‘Easter’), a base date/time, and a direction hint to compute a new relative date. This can be used in non-trivial expressions such as “4 weeks from last Monday” to normalise the “Monday” phrase (with a negative direction hint) which can then be used as the base for an </w:t>
      </w:r>
      <w:proofErr w:type="spellStart"/>
      <w:r w:rsidRPr="008D4CDA">
        <w:rPr>
          <w:rStyle w:val="Code"/>
        </w:rPr>
        <w:t>offset_from_date</w:t>
      </w:r>
      <w:proofErr w:type="spellEnd"/>
      <w:r>
        <w:t xml:space="preserve"> call, but it can also be used to normalise the trivial expression “last Monday” when it stands on its own. </w:t>
      </w:r>
      <w:proofErr w:type="gramStart"/>
      <w:r>
        <w:t xml:space="preserve">Like </w:t>
      </w:r>
      <w:proofErr w:type="spellStart"/>
      <w:r w:rsidRPr="007A0911">
        <w:rPr>
          <w:rStyle w:val="Code"/>
        </w:rPr>
        <w:t>offset_from_date</w:t>
      </w:r>
      <w:proofErr w:type="spellEnd"/>
      <w:r w:rsidRPr="008D4CDA">
        <w:t>, this was</w:t>
      </w:r>
      <w:r>
        <w:t xml:space="preserve"> originally ported from GUTime, but has been extensively extended to handle </w:t>
      </w:r>
      <w:r w:rsidR="00A71DA5">
        <w:t>more expression</w:t>
      </w:r>
      <w:r w:rsidR="00627209">
        <w:t xml:space="preserve"> type</w:t>
      </w:r>
      <w:r w:rsidR="00A71DA5">
        <w:t>s</w:t>
      </w:r>
      <w:r>
        <w:t>.</w:t>
      </w:r>
      <w:proofErr w:type="gramEnd"/>
      <w:r w:rsidR="00893A49">
        <w:t xml:space="preserve"> The direction hint is used to determine the behaviour of this function, except where direction is implicit in the expression (i.e., ‘yesterday’ and ‘tomorrow’). When the direction hint is negative, it returns the date of first occurrence of expression before the reference date, even if the current date is an instance of that expression</w:t>
      </w:r>
      <w:r w:rsidR="00E855C9">
        <w:t xml:space="preserve">. </w:t>
      </w:r>
      <w:r w:rsidR="00893A49">
        <w:t xml:space="preserve">e.g., if a </w:t>
      </w:r>
      <w:r w:rsidR="00893A49">
        <w:lastRenderedPageBreak/>
        <w:t>negative direction hint is used, the reference date is the 25</w:t>
      </w:r>
      <w:r w:rsidR="00893A49" w:rsidRPr="00893A49">
        <w:rPr>
          <w:vertAlign w:val="superscript"/>
        </w:rPr>
        <w:t>th</w:t>
      </w:r>
      <w:r w:rsidR="00893A49">
        <w:t xml:space="preserve"> </w:t>
      </w:r>
      <w:r w:rsidR="00E855C9">
        <w:t>December,</w:t>
      </w:r>
      <w:r w:rsidR="00893A49">
        <w:t xml:space="preserve"> and the expression is “Christmas day”, then the date returned will always be in the previous year.</w:t>
      </w:r>
      <w:r w:rsidR="00E855C9">
        <w:t xml:space="preserve"> When the direction hint is positive, the behaviour is similar, except the dates will be the proceeding instance of that expression. When no direction hint is given, the closest instance of that date (e.g., if the reference date is a “Wednesday”, the expression “Tuesday” would resolve to the past, whereas “Thursday” would resolve to the future), is returned</w:t>
      </w:r>
      <w:r w:rsidR="00076B91">
        <w:t>. Unlike</w:t>
      </w:r>
      <w:r w:rsidR="00E855C9">
        <w:t xml:space="preserve"> when direction hints are given</w:t>
      </w:r>
      <w:r w:rsidR="00584A94">
        <w:t>, it can return the same date as passed in, if that date is an instance of that expression.</w:t>
      </w:r>
    </w:p>
    <w:p w:rsidR="00776DB9" w:rsidRPr="003E1130" w:rsidRDefault="00776DB9" w:rsidP="003E1130">
      <w:r>
        <w:t xml:space="preserve">The final function, </w:t>
      </w:r>
      <w:proofErr w:type="spellStart"/>
      <w:r w:rsidRPr="007A0911">
        <w:rPr>
          <w:rStyle w:val="Code"/>
        </w:rPr>
        <w:t>relative_direction_heuristic</w:t>
      </w:r>
      <w:proofErr w:type="spellEnd"/>
      <w:r>
        <w:t xml:space="preserve">, is an implementation of GUTime’s direction heuristic that returns the direction </w:t>
      </w:r>
      <w:r w:rsidR="00076B91">
        <w:t xml:space="preserve">(if one can </w:t>
      </w:r>
      <w:r w:rsidR="00893A49">
        <w:t>determined)</w:t>
      </w:r>
      <w:r w:rsidR="00076B91">
        <w:t xml:space="preserve"> of the temporal expression. It first looks at the section of the sentence between any preceding timex and this timex to identify a key verb, and if none are found the </w:t>
      </w:r>
      <w:proofErr w:type="spellStart"/>
      <w:r w:rsidR="00076B91">
        <w:t>the</w:t>
      </w:r>
      <w:proofErr w:type="spellEnd"/>
      <w:r w:rsidR="00076B91">
        <w:t xml:space="preserve"> proceeding section of the sentence and if this fails, the entirety of the sentence preceding this timex. If a verb is found, its tense is used to determine </w:t>
      </w:r>
      <w:r w:rsidR="0050663B">
        <w:t xml:space="preserve">the direction, otherwise if the word immediately preceding the timex is “since” or “until”, this is used as a linguistic cue. </w:t>
      </w:r>
    </w:p>
    <w:p w:rsidR="0021424D" w:rsidRDefault="0021424D" w:rsidP="0021424D">
      <w:pPr>
        <w:pStyle w:val="Heading3"/>
      </w:pPr>
      <w:r>
        <w:t>The GUTime Rule Set</w:t>
      </w:r>
    </w:p>
    <w:p w:rsidR="00234FAA" w:rsidRDefault="00234FAA" w:rsidP="0021424D">
      <w:r>
        <w:t xml:space="preserve">The normalisation rules implemented in TERNIP are all derived from GUTime </w:t>
      </w:r>
      <w:sdt>
        <w:sdtPr>
          <w:id w:val="166982189"/>
          <w:citation/>
        </w:sdtPr>
        <w:sdtContent>
          <w:r>
            <w:fldChar w:fldCharType="begin"/>
          </w:r>
          <w:r>
            <w:instrText xml:space="preserve"> CITATION Ver05 \l 2057 </w:instrText>
          </w:r>
          <w:r>
            <w:fldChar w:fldCharType="separate"/>
          </w:r>
          <w:r>
            <w:rPr>
              <w:noProof/>
            </w:rPr>
            <w:t>(Verhagen, et al., 2005)</w:t>
          </w:r>
          <w:r>
            <w:fldChar w:fldCharType="end"/>
          </w:r>
        </w:sdtContent>
      </w:sdt>
      <w:r>
        <w:t xml:space="preserve">, but small tweaks have been made to capture some generalities between rules the original Perl did not capture. Unlike recognition rules, the implemented normalisation rules do not require the complex representation, which is largely due to the additional expressiveness allowed by executing Python code. This expressiveness can be used to guard against existing timex values, as </w:t>
      </w:r>
      <w:r>
        <w:fldChar w:fldCharType="begin"/>
      </w:r>
      <w:r>
        <w:instrText xml:space="preserve"> REF _Ref270352805 \h </w:instrText>
      </w:r>
      <w:r>
        <w:fldChar w:fldCharType="separate"/>
      </w:r>
      <w:r>
        <w:t xml:space="preserve">Sample </w:t>
      </w:r>
      <w:r>
        <w:rPr>
          <w:noProof/>
        </w:rPr>
        <w:t>8</w:t>
      </w:r>
      <w:r>
        <w:fldChar w:fldCharType="end"/>
      </w:r>
      <w:r>
        <w:t xml:space="preserve"> shows (note that the entire </w:t>
      </w:r>
      <w:r w:rsidRPr="00C46885">
        <w:rPr>
          <w:rStyle w:val="Code"/>
        </w:rPr>
        <w:t>Value</w:t>
      </w:r>
      <w:r>
        <w:t xml:space="preserve"> expression should be on one line – the line breaks are not present in the rule definition).</w:t>
      </w:r>
    </w:p>
    <w:p w:rsidR="00C46885" w:rsidRDefault="00C46885" w:rsidP="00C46885">
      <w:pPr>
        <w:pBdr>
          <w:top w:val="single" w:sz="4" w:space="1" w:color="auto"/>
          <w:left w:val="single" w:sz="4" w:space="4" w:color="auto"/>
          <w:bottom w:val="single" w:sz="4" w:space="1" w:color="auto"/>
          <w:right w:val="single" w:sz="4" w:space="4" w:color="auto"/>
        </w:pBdr>
        <w:jc w:val="left"/>
        <w:rPr>
          <w:rStyle w:val="Code"/>
        </w:rPr>
      </w:pPr>
      <w:r w:rsidRPr="00C46885">
        <w:rPr>
          <w:rStyle w:val="Code"/>
        </w:rPr>
        <w:t>Match: &lt;night~</w:t>
      </w:r>
      <w:proofErr w:type="gramStart"/>
      <w:r w:rsidRPr="00C46885">
        <w:rPr>
          <w:rStyle w:val="Code"/>
        </w:rPr>
        <w:t>.+</w:t>
      </w:r>
      <w:proofErr w:type="gramEnd"/>
      <w:r w:rsidRPr="00C46885">
        <w:rPr>
          <w:rStyle w:val="Code"/>
        </w:rPr>
        <w:t>&gt;</w:t>
      </w:r>
      <w:r w:rsidRPr="00C46885">
        <w:rPr>
          <w:rStyle w:val="Code"/>
        </w:rPr>
        <w:br/>
        <w:t>Value: (</w:t>
      </w:r>
      <w:proofErr w:type="spellStart"/>
      <w:r w:rsidRPr="00C46885">
        <w:rPr>
          <w:rStyle w:val="Code"/>
        </w:rPr>
        <w:t>timex.value</w:t>
      </w:r>
      <w:proofErr w:type="spellEnd"/>
      <w:r w:rsidRPr="00C46885">
        <w:rPr>
          <w:rStyle w:val="Code"/>
        </w:rPr>
        <w:t xml:space="preserve"> + 'TNI') if (</w:t>
      </w:r>
      <w:proofErr w:type="spellStart"/>
      <w:r w:rsidRPr="00C46885">
        <w:rPr>
          <w:rStyle w:val="Code"/>
        </w:rPr>
        <w:t>re.match</w:t>
      </w:r>
      <w:proofErr w:type="spellEnd"/>
      <w:r w:rsidRPr="00C46885">
        <w:rPr>
          <w:rStyle w:val="Code"/>
        </w:rPr>
        <w:t xml:space="preserve">(r'^\d{8}$', </w:t>
      </w:r>
      <w:proofErr w:type="spellStart"/>
      <w:r w:rsidRPr="00C46885">
        <w:rPr>
          <w:rStyle w:val="Code"/>
        </w:rPr>
        <w:t>timex.value</w:t>
      </w:r>
      <w:proofErr w:type="spellEnd"/>
      <w:r w:rsidRPr="00C46885">
        <w:rPr>
          <w:rStyle w:val="Code"/>
        </w:rPr>
        <w:t xml:space="preserve"> if </w:t>
      </w:r>
      <w:proofErr w:type="spellStart"/>
      <w:r w:rsidRPr="00C46885">
        <w:rPr>
          <w:rStyle w:val="Code"/>
        </w:rPr>
        <w:t>timex.value</w:t>
      </w:r>
      <w:proofErr w:type="spellEnd"/>
      <w:r w:rsidRPr="00C46885">
        <w:rPr>
          <w:rStyle w:val="Code"/>
        </w:rPr>
        <w:t xml:space="preserve"> != None else '') != None) else </w:t>
      </w:r>
      <w:proofErr w:type="spellStart"/>
      <w:r w:rsidRPr="00C46885">
        <w:rPr>
          <w:rStyle w:val="Code"/>
        </w:rPr>
        <w:t>timex.value</w:t>
      </w:r>
      <w:proofErr w:type="spellEnd"/>
    </w:p>
    <w:p w:rsidR="00C46885" w:rsidRDefault="00C46885" w:rsidP="00C46885">
      <w:pPr>
        <w:pStyle w:val="Caption"/>
      </w:pPr>
      <w:bookmarkStart w:id="71" w:name="_Ref270352805"/>
      <w:r>
        <w:t xml:space="preserve">Sample </w:t>
      </w:r>
      <w:r>
        <w:fldChar w:fldCharType="begin"/>
      </w:r>
      <w:r>
        <w:instrText xml:space="preserve"> SEQ Sample \* ARABIC </w:instrText>
      </w:r>
      <w:r>
        <w:fldChar w:fldCharType="separate"/>
      </w:r>
      <w:r>
        <w:rPr>
          <w:noProof/>
        </w:rPr>
        <w:t>8</w:t>
      </w:r>
      <w:r>
        <w:fldChar w:fldCharType="end"/>
      </w:r>
      <w:bookmarkEnd w:id="71"/>
      <w:r>
        <w:t xml:space="preserve"> - adding approximate time-of-day expressions from gutime-timeofday.ruleblock</w:t>
      </w:r>
    </w:p>
    <w:p w:rsidR="00C46885" w:rsidRDefault="00C46885" w:rsidP="00C46885">
      <w:r>
        <w:t xml:space="preserve">The </w:t>
      </w:r>
      <w:r w:rsidRPr="00C46885">
        <w:rPr>
          <w:rStyle w:val="Code"/>
        </w:rPr>
        <w:t>Value</w:t>
      </w:r>
      <w:r>
        <w:t xml:space="preserve"> expression in </w:t>
      </w:r>
      <w:r>
        <w:fldChar w:fldCharType="begin"/>
      </w:r>
      <w:r>
        <w:instrText xml:space="preserve"> REF _Ref270352805 \h </w:instrText>
      </w:r>
      <w:r>
        <w:fldChar w:fldCharType="separate"/>
      </w:r>
      <w:r>
        <w:t xml:space="preserve">Sample </w:t>
      </w:r>
      <w:r>
        <w:rPr>
          <w:noProof/>
        </w:rPr>
        <w:t>8</w:t>
      </w:r>
      <w:r>
        <w:fldChar w:fldCharType="end"/>
      </w:r>
      <w:r>
        <w:t xml:space="preserve"> alters the value of an existing timex, but only if the current timex matches a defined regular expression (also guarding against type errors which is caused when the value is unset), or leaves it unchanged if not.</w:t>
      </w:r>
    </w:p>
    <w:p w:rsidR="00C46885" w:rsidRDefault="00C46885" w:rsidP="00C46885">
      <w:r>
        <w:t>As rules are called multiple times on the same timex, ordering preconditions can be set to chain normalisation of different components in a timex, however the GUTime rule set only does this in one case.</w:t>
      </w:r>
    </w:p>
    <w:p w:rsidR="009159A8" w:rsidRPr="00C46885" w:rsidRDefault="009159A8" w:rsidP="00C46885">
      <w:r>
        <w:t xml:space="preserve">Accuracy of translation from GUTime to the new TERNIP rule format was a key concern in implementing this rule set, and this was checked by comparing results </w:t>
      </w:r>
      <w:r>
        <w:lastRenderedPageBreak/>
        <w:t xml:space="preserve">from GUTime against TERNIP on the TERN data set to ensure they were identical. Although performance did differ on a small number of rules (largely due to improvements and generalities captured in the translation process), the results are similar. The system performance is discussed further in section </w:t>
      </w:r>
      <w:r>
        <w:fldChar w:fldCharType="begin"/>
      </w:r>
      <w:r>
        <w:instrText xml:space="preserve"> REF _Ref270176962 \r \h </w:instrText>
      </w:r>
      <w:r>
        <w:fldChar w:fldCharType="separate"/>
      </w:r>
      <w:r>
        <w:t>5</w:t>
      </w:r>
      <w:r>
        <w:fldChar w:fldCharType="end"/>
      </w:r>
      <w:r>
        <w:t>.</w:t>
      </w:r>
    </w:p>
    <w:p w:rsidR="0065512A" w:rsidRDefault="00072F9B" w:rsidP="00ED5A76">
      <w:pPr>
        <w:pStyle w:val="Heading2"/>
      </w:pPr>
      <w:bookmarkStart w:id="72" w:name="_Ref270081455"/>
      <w:bookmarkStart w:id="73" w:name="_Ref270081470"/>
      <w:bookmarkStart w:id="74" w:name="_Ref270082008"/>
      <w:bookmarkStart w:id="75" w:name="_Toc270255316"/>
      <w:r>
        <w:t>Document Formats</w:t>
      </w:r>
      <w:bookmarkEnd w:id="72"/>
      <w:bookmarkEnd w:id="73"/>
      <w:bookmarkEnd w:id="74"/>
      <w:bookmarkEnd w:id="75"/>
    </w:p>
    <w:p w:rsidR="008E6DD9" w:rsidRDefault="008E6DD9" w:rsidP="008E6DD9">
      <w:r>
        <w:t xml:space="preserve">The restriction of TERNIP’s rule engines to operate on the internal format described in section </w:t>
      </w:r>
      <w:r>
        <w:fldChar w:fldCharType="begin"/>
      </w:r>
      <w:r>
        <w:instrText xml:space="preserve"> REF _Ref270419873 \r \h </w:instrText>
      </w:r>
      <w:r>
        <w:fldChar w:fldCharType="separate"/>
      </w:r>
      <w:r>
        <w:t>4.1</w:t>
      </w:r>
      <w:r>
        <w:fldChar w:fldCharType="end"/>
      </w:r>
      <w:r>
        <w:t xml:space="preserve"> would significantly reduce the utility of TERNIP if no method was provided to parse documents into the internal format, and then to annotate the original documents with the new timex data.</w:t>
      </w:r>
      <w:r w:rsidR="00F448C7">
        <w:t xml:space="preserve"> In order to combat this, a number of classes are provided in the </w:t>
      </w:r>
      <w:proofErr w:type="spellStart"/>
      <w:r w:rsidR="00F448C7" w:rsidRPr="009619DA">
        <w:rPr>
          <w:rStyle w:val="Code"/>
        </w:rPr>
        <w:t>ternip.formats</w:t>
      </w:r>
      <w:proofErr w:type="spellEnd"/>
      <w:r w:rsidR="00F448C7">
        <w:t xml:space="preserve"> </w:t>
      </w:r>
      <w:proofErr w:type="gramStart"/>
      <w:r w:rsidR="009619DA">
        <w:t>package which</w:t>
      </w:r>
      <w:proofErr w:type="gramEnd"/>
      <w:r w:rsidR="009619DA">
        <w:t xml:space="preserve"> implement this needed functionality.</w:t>
      </w:r>
    </w:p>
    <w:p w:rsidR="009619DA" w:rsidRDefault="00960E3E" w:rsidP="008E6DD9">
      <w:r>
        <w:t xml:space="preserve">As both </w:t>
      </w:r>
      <w:r w:rsidR="00F62D76">
        <w:t xml:space="preserve">the important TIDES and TimeML standards are implemented using XML, it is clear that support for the XML document format is needed. In addition, an implementation is provided of the annotation standard defined for use in the TempEval-2 competition </w:t>
      </w:r>
      <w:sdt>
        <w:sdtPr>
          <w:id w:val="1451665957"/>
          <w:citation/>
        </w:sdtPr>
        <w:sdtContent>
          <w:r w:rsidR="00F62D76">
            <w:fldChar w:fldCharType="begin"/>
          </w:r>
          <w:r w:rsidR="00F62D76">
            <w:instrText xml:space="preserve">CITATION Pus09 \t  \l 2057 </w:instrText>
          </w:r>
          <w:r w:rsidR="00F62D76">
            <w:fldChar w:fldCharType="separate"/>
          </w:r>
          <w:r w:rsidR="00F62D76">
            <w:rPr>
              <w:noProof/>
            </w:rPr>
            <w:t>(Pustejovsky &amp; Verhagen, 2009)</w:t>
          </w:r>
          <w:r w:rsidR="00F62D76">
            <w:fldChar w:fldCharType="end"/>
          </w:r>
        </w:sdtContent>
      </w:sdt>
      <w:r w:rsidR="00F62D76">
        <w:t>, which borrows heavily from the TimeML standard, but is implemented on top of a standoff format.</w:t>
      </w:r>
    </w:p>
    <w:p w:rsidR="006243AC" w:rsidRDefault="009D6096" w:rsidP="006243AC">
      <w:r>
        <w:t xml:space="preserve">The use of XML does present one downside. The TERN corpus </w:t>
      </w:r>
      <w:sdt>
        <w:sdtPr>
          <w:id w:val="-2086130940"/>
          <w:citation/>
        </w:sdtPr>
        <w:sdtContent>
          <w:r>
            <w:fldChar w:fldCharType="begin"/>
          </w:r>
          <w:r>
            <w:instrText xml:space="preserve"> CITATION Lis01 \l 2057 </w:instrText>
          </w:r>
          <w:r>
            <w:fldChar w:fldCharType="separate"/>
          </w:r>
          <w:r>
            <w:rPr>
              <w:noProof/>
            </w:rPr>
            <w:t>(Ferro, Mani, Sundheim, &amp; Wilson, 2001)</w:t>
          </w:r>
          <w:r>
            <w:fldChar w:fldCharType="end"/>
          </w:r>
        </w:sdtContent>
      </w:sdt>
      <w:r>
        <w:t xml:space="preserve"> is in SGML format, a superset of XML. However, XML was designed to provide a simpler version of XML, and Python support for SGML is lacking compared to its extensive XML library. Therefore, a decision was made to implement TERN fo</w:t>
      </w:r>
      <w:r w:rsidR="00681861">
        <w:t xml:space="preserve">rmat support with XML, restricting some documents in the corpus from being successfully parsed. This issue is discussed further in section </w:t>
      </w:r>
      <w:r w:rsidR="00681861">
        <w:fldChar w:fldCharType="begin"/>
      </w:r>
      <w:r w:rsidR="00681861">
        <w:instrText xml:space="preserve"> REF _Ref270432977 \r \h </w:instrText>
      </w:r>
      <w:r w:rsidR="00681861">
        <w:fldChar w:fldCharType="separate"/>
      </w:r>
      <w:r w:rsidR="00681861">
        <w:t>6</w:t>
      </w:r>
      <w:r w:rsidR="00681861">
        <w:fldChar w:fldCharType="end"/>
      </w:r>
      <w:r w:rsidR="00681861">
        <w:t>.</w:t>
      </w:r>
    </w:p>
    <w:p w:rsidR="009D6096" w:rsidRDefault="006243AC" w:rsidP="008E6DD9">
      <w:r>
        <w:t xml:space="preserve">One advantage XML has over plain text is that it can contain additional metadata about a document, or specific contents of it. This functionality is what is used to annotate the timex extents and provide the timex attributes, but is not limited to this. The document creation time is a key piece of metadata for the normalisation process, and many XML </w:t>
      </w:r>
      <w:r w:rsidR="00EB6681">
        <w:t>forma</w:t>
      </w:r>
      <w:r>
        <w:t xml:space="preserve">ts embed this in a document </w:t>
      </w:r>
      <w:r w:rsidR="00EB6681">
        <w:t xml:space="preserve">header, </w:t>
      </w:r>
      <w:r w:rsidR="00EF32D6">
        <w:t>e.g.</w:t>
      </w:r>
      <w:r w:rsidR="00EB6681">
        <w:t xml:space="preserve">, the </w:t>
      </w:r>
      <w:r w:rsidR="00EB6681" w:rsidRPr="00EF32D6">
        <w:rPr>
          <w:rStyle w:val="Code"/>
        </w:rPr>
        <w:t>DATE_TIME</w:t>
      </w:r>
      <w:r w:rsidR="00EB6681">
        <w:t xml:space="preserve"> attribute in TERN corpus documents.</w:t>
      </w:r>
      <w:r w:rsidR="00EF32D6">
        <w:t xml:space="preserve"> TERNIP is also particularly interested in sentence and token boundaries, and part-of-speech information, so if such information is available in a document, it is beneficial to use it. Sentence and token boundaries are determined by element nodes (e.g., in </w:t>
      </w:r>
      <w:r w:rsidR="00EF32D6" w:rsidRPr="00CC2864">
        <w:rPr>
          <w:rStyle w:val="Code"/>
        </w:rPr>
        <w:t>&lt;sent&gt;</w:t>
      </w:r>
      <w:r w:rsidR="00CC2864" w:rsidRPr="00CC2864">
        <w:rPr>
          <w:rStyle w:val="Code"/>
        </w:rPr>
        <w:t>This is a sentence</w:t>
      </w:r>
      <w:proofErr w:type="gramStart"/>
      <w:r w:rsidR="00CC2864" w:rsidRPr="00CC2864">
        <w:rPr>
          <w:rStyle w:val="Code"/>
        </w:rPr>
        <w:t>.&lt;</w:t>
      </w:r>
      <w:proofErr w:type="gramEnd"/>
      <w:r w:rsidR="00CC2864" w:rsidRPr="00CC2864">
        <w:rPr>
          <w:rStyle w:val="Code"/>
        </w:rPr>
        <w:t>/sent&gt;</w:t>
      </w:r>
      <w:r w:rsidR="00CC2864">
        <w:t xml:space="preserve">, the element node is sent which contains a text node child of </w:t>
      </w:r>
      <w:r w:rsidR="00CC2864" w:rsidRPr="00CC2864">
        <w:rPr>
          <w:rStyle w:val="Code"/>
        </w:rPr>
        <w:t>This is a sentence.</w:t>
      </w:r>
      <w:r w:rsidR="00CC2864">
        <w:t xml:space="preserve">), and part-of-speech information as an attribute on that node (e.g., </w:t>
      </w:r>
      <w:r w:rsidR="00CC2864" w:rsidRPr="00CC2864">
        <w:rPr>
          <w:rStyle w:val="Code"/>
        </w:rPr>
        <w:t xml:space="preserve">&lt;token </w:t>
      </w:r>
      <w:proofErr w:type="spellStart"/>
      <w:r w:rsidR="00CC2864" w:rsidRPr="00CC2864">
        <w:rPr>
          <w:rStyle w:val="Code"/>
        </w:rPr>
        <w:t>partofspeech</w:t>
      </w:r>
      <w:proofErr w:type="spellEnd"/>
      <w:r w:rsidR="00CC2864" w:rsidRPr="00CC2864">
        <w:rPr>
          <w:rStyle w:val="Code"/>
        </w:rPr>
        <w:t>=”NNP”&gt;TERNIP&lt;/token&gt;</w:t>
      </w:r>
      <w:r w:rsidR="00CC2864">
        <w:t xml:space="preserve">). Additional metadata TERNIP concerns itself with are timexes, which are element nodes spanning the extent of that timex, with attributes on the element node. The exact format of the timex element depends on the specifics of the format being used (e.g., </w:t>
      </w:r>
      <w:r w:rsidR="00CC2864" w:rsidRPr="00CC2864">
        <w:rPr>
          <w:rStyle w:val="Code"/>
        </w:rPr>
        <w:t>TIMEX2</w:t>
      </w:r>
      <w:r w:rsidR="00CC2864">
        <w:t xml:space="preserve"> for TIDES, </w:t>
      </w:r>
      <w:r w:rsidR="00CC2864" w:rsidRPr="00CC2864">
        <w:rPr>
          <w:rStyle w:val="Code"/>
        </w:rPr>
        <w:t>TIMEX3</w:t>
      </w:r>
      <w:r w:rsidR="00CC2864">
        <w:t xml:space="preserve"> for TimeML).</w:t>
      </w:r>
      <w:r w:rsidR="00D92857">
        <w:t xml:space="preserve"> The document formats in TERNIP support loading all of this metadata from an XML document, and adding it to an XML file.</w:t>
      </w:r>
    </w:p>
    <w:p w:rsidR="0046386B" w:rsidRDefault="0046386B" w:rsidP="008E6DD9">
      <w:r>
        <w:lastRenderedPageBreak/>
        <w:t xml:space="preserve">If sentence boundaries, token </w:t>
      </w:r>
      <w:proofErr w:type="gramStart"/>
      <w:r>
        <w:t>boundaries</w:t>
      </w:r>
      <w:proofErr w:type="gramEnd"/>
      <w:r>
        <w:t xml:space="preserve"> or part-of-speech tags are missing from the input document, TERNIP will use the NLTK </w:t>
      </w:r>
      <w:sdt>
        <w:sdtPr>
          <w:id w:val="1551041665"/>
          <w:citation/>
        </w:sdtPr>
        <w:sdtContent>
          <w:r>
            <w:fldChar w:fldCharType="begin"/>
          </w:r>
          <w:r>
            <w:instrText xml:space="preserve"> CITATION Bir09 \l 2057 </w:instrText>
          </w:r>
          <w:r>
            <w:fldChar w:fldCharType="separate"/>
          </w:r>
          <w:r>
            <w:rPr>
              <w:noProof/>
            </w:rPr>
            <w:t>(Bird, Klein, &amp; Loper, 2009)</w:t>
          </w:r>
          <w:r>
            <w:fldChar w:fldCharType="end"/>
          </w:r>
        </w:sdtContent>
      </w:sdt>
      <w:r>
        <w:t xml:space="preserve"> to add it.</w:t>
      </w:r>
    </w:p>
    <w:p w:rsidR="00580328" w:rsidRDefault="00580328" w:rsidP="008E6DD9">
      <w:r>
        <w:t xml:space="preserve">Supporting loading timex objects from documents in this way allows for TERNIP to run in just a normalisation role, where recognition is done by a third-party component, </w:t>
      </w:r>
      <w:proofErr w:type="gramStart"/>
      <w:r>
        <w:t>and also</w:t>
      </w:r>
      <w:proofErr w:type="gramEnd"/>
      <w:r>
        <w:t xml:space="preserve"> for conversion between types.</w:t>
      </w:r>
    </w:p>
    <w:p w:rsidR="0046386B" w:rsidRDefault="00092057" w:rsidP="008E6DD9">
      <w:r>
        <w:t xml:space="preserve">The Document Object Model </w:t>
      </w:r>
      <w:sdt>
        <w:sdtPr>
          <w:id w:val="-1726596247"/>
          <w:citation/>
        </w:sdtPr>
        <w:sdtContent>
          <w:r>
            <w:fldChar w:fldCharType="begin"/>
          </w:r>
          <w:r>
            <w:instrText xml:space="preserve"> CITATION App98 \l 2057 </w:instrText>
          </w:r>
          <w:r>
            <w:fldChar w:fldCharType="separate"/>
          </w:r>
          <w:r>
            <w:rPr>
              <w:noProof/>
            </w:rPr>
            <w:t>(Apparao, et al., 1998)</w:t>
          </w:r>
          <w:r>
            <w:fldChar w:fldCharType="end"/>
          </w:r>
        </w:sdtContent>
      </w:sdt>
      <w:r>
        <w:t xml:space="preserve"> is a standard interface for manipulating XML documents by representing them </w:t>
      </w:r>
      <w:r w:rsidR="0080004A">
        <w:t>as</w:t>
      </w:r>
      <w:r>
        <w:t xml:space="preserve"> a tree, and this model is used by TERNIP in order to implement XML manipulations.</w:t>
      </w:r>
      <w:r w:rsidR="0046386B">
        <w:t xml:space="preserve"> Although loading documents from the tree is relatively straightforward, the act of reconciling the document with the internal format is harder, largely due to the whitespace lost during the tokenisation process, unless the sentence and token boundaries are tagged in the document.</w:t>
      </w:r>
    </w:p>
    <w:p w:rsidR="0046386B" w:rsidRDefault="0046386B" w:rsidP="008E6DD9">
      <w:r>
        <w:t>For reconciliation in a document with no sentence or token annotations, the strings in the document must be aligned with the relevant tokens. The DOM tree is traversed depth-first (text nodes can only appear as leafs) to handle one text node at a time. In each text node, the offset of each token is determined by looking for the next occurrence of the first character of the token</w:t>
      </w:r>
      <w:r w:rsidR="008C67CD">
        <w:t xml:space="preserve"> (starting the search from the end of the previously found token in the string). If that token is determined to be the start of a delimiter (i.e., a sentence, token or timex extent marker) then the text node </w:t>
      </w:r>
      <w:proofErr w:type="gramStart"/>
      <w:r w:rsidR="008C67CD">
        <w:t>is</w:t>
      </w:r>
      <w:proofErr w:type="gramEnd"/>
      <w:r w:rsidR="008C67CD">
        <w:t xml:space="preserve"> split at that point and a new node indicating the extent inserted in the split. The next step is to determine how far this node should extend. This is done by finding token extents as before and then splitting the text node again, and changing the cut-up text to the child or the newly inserted element. If the token extent is determined to be in a different text node, then </w:t>
      </w:r>
      <w:r w:rsidR="0076392D">
        <w:t xml:space="preserve">the sibling nodes between the text node containing the start token and the end node are also moved to be the child of the new element node. If the start and end tokens are in text nodes that are not siblings, then the element node cannot be created, as that could not be represented in a tree without changing the order (and therefore meaning) of existing nodes. This situation is equivalent to an XML document that requires overlapping nodes (e.g., </w:t>
      </w:r>
      <w:r w:rsidR="0076392D" w:rsidRPr="0076392D">
        <w:rPr>
          <w:rStyle w:val="Code"/>
        </w:rPr>
        <w:t>&lt;tag1&gt;</w:t>
      </w:r>
      <w:proofErr w:type="gramStart"/>
      <w:r w:rsidR="0076392D" w:rsidRPr="0076392D">
        <w:rPr>
          <w:rStyle w:val="Code"/>
        </w:rPr>
        <w:t>This</w:t>
      </w:r>
      <w:proofErr w:type="gramEnd"/>
      <w:r w:rsidR="0076392D" w:rsidRPr="0076392D">
        <w:rPr>
          <w:rStyle w:val="Code"/>
        </w:rPr>
        <w:t xml:space="preserve"> is &lt;tag2&gt;an overlapping&lt;/tag1&gt; </w:t>
      </w:r>
      <w:r w:rsidR="003F7B62">
        <w:rPr>
          <w:rStyle w:val="Code"/>
        </w:rPr>
        <w:t>sentence</w:t>
      </w:r>
      <w:r w:rsidR="0076392D" w:rsidRPr="0076392D">
        <w:rPr>
          <w:rStyle w:val="Code"/>
        </w:rPr>
        <w:t>&lt;/tag2&gt;</w:t>
      </w:r>
      <w:r w:rsidR="0076392D">
        <w:t>) which is an illegal XML representation.</w:t>
      </w:r>
    </w:p>
    <w:p w:rsidR="0080004A" w:rsidRDefault="0080004A" w:rsidP="008E6DD9">
      <w:r>
        <w:t>Reconciliation and conversion for the TempEval-2 format is considerably easier, as it works on a per-token level, therefore the alignment and tree manipulations are not needed.</w:t>
      </w:r>
    </w:p>
    <w:p w:rsidR="009E7FD4" w:rsidRDefault="0080004A" w:rsidP="009E7FD4">
      <w:r>
        <w:t>In order to implement the different XML formats supported by TERNIP: those with TIDES’ TIMEX2 tags and those with TimeML’s TIMEX3 tags</w:t>
      </w:r>
      <w:r w:rsidR="007A01BE">
        <w:t>, i</w:t>
      </w:r>
      <w:r w:rsidR="00092057">
        <w:t>nheritance is used extensively.</w:t>
      </w:r>
      <w:r w:rsidR="009D6096">
        <w:t xml:space="preserve"> </w:t>
      </w:r>
      <w:r w:rsidR="009D6096">
        <w:fldChar w:fldCharType="begin"/>
      </w:r>
      <w:r w:rsidR="009D6096">
        <w:instrText xml:space="preserve"> REF _Ref270431706 \h </w:instrText>
      </w:r>
      <w:r w:rsidR="009D6096">
        <w:fldChar w:fldCharType="separate"/>
      </w:r>
      <w:r w:rsidR="009D6096">
        <w:t xml:space="preserve">Figure </w:t>
      </w:r>
      <w:r w:rsidR="009D6096">
        <w:rPr>
          <w:noProof/>
        </w:rPr>
        <w:t>1</w:t>
      </w:r>
      <w:r w:rsidR="009D6096">
        <w:fldChar w:fldCharType="end"/>
      </w:r>
      <w:r w:rsidR="009D6096">
        <w:t xml:space="preserve"> is a UML class diagram demonstrating the structure of this package.</w:t>
      </w:r>
      <w:r w:rsidR="00105435">
        <w:t xml:space="preserve"> </w:t>
      </w:r>
      <w:r w:rsidR="00580328">
        <w:t>Classes that are more concrete</w:t>
      </w:r>
      <w:r w:rsidR="00105435">
        <w:t xml:space="preserve"> also extend these, which allow for the construction of new doc</w:t>
      </w:r>
      <w:r w:rsidR="00C15C36">
        <w:t xml:space="preserve">uments from the internal format (with optional token </w:t>
      </w:r>
      <w:r w:rsidR="00C15C36">
        <w:lastRenderedPageBreak/>
        <w:t>offsets)</w:t>
      </w:r>
      <w:r w:rsidR="00580328">
        <w:t>, and for extracting document creation time information</w:t>
      </w:r>
      <w:r w:rsidR="00A40B93">
        <w:t>, which is specific to individual formats</w:t>
      </w:r>
      <w:r w:rsidR="00C15C36">
        <w:t>.</w:t>
      </w:r>
    </w:p>
    <w:p w:rsidR="009E7FD4" w:rsidRDefault="00092057" w:rsidP="009E7FD4">
      <w:pPr>
        <w:jc w:val="center"/>
      </w:pPr>
      <w:r>
        <w:object w:dxaOrig="5767" w:dyaOrig="5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68pt" o:ole="" o:bordertopcolor="this" o:borderleftcolor="this" o:borderbottomcolor="this" o:borderrightcolor="this">
            <v:imagedata r:id="rId21" o:title="" croptop="25967f" cropleft="4949f" cropright="24406f"/>
            <w10:bordertop type="single" width="4"/>
            <w10:borderleft type="single" width="4"/>
            <w10:borderbottom type="single" width="4"/>
            <w10:borderright type="single" width="4"/>
          </v:shape>
          <o:OLEObject Type="Embed" ProgID="Visio.Drawing.11" ShapeID="_x0000_i1025" DrawAspect="Content" ObjectID="_1344181564" r:id="rId22"/>
        </w:object>
      </w:r>
    </w:p>
    <w:p w:rsidR="00092057" w:rsidRDefault="009D6096" w:rsidP="009D6096">
      <w:pPr>
        <w:pStyle w:val="Caption"/>
        <w:jc w:val="center"/>
      </w:pPr>
      <w:bookmarkStart w:id="76" w:name="_Ref270431706"/>
      <w:r>
        <w:t xml:space="preserve">Figure </w:t>
      </w:r>
      <w:r>
        <w:fldChar w:fldCharType="begin"/>
      </w:r>
      <w:r>
        <w:instrText xml:space="preserve"> SEQ Figure \* ARABIC </w:instrText>
      </w:r>
      <w:r>
        <w:fldChar w:fldCharType="separate"/>
      </w:r>
      <w:r>
        <w:rPr>
          <w:noProof/>
        </w:rPr>
        <w:t>1</w:t>
      </w:r>
      <w:r>
        <w:fldChar w:fldCharType="end"/>
      </w:r>
      <w:bookmarkEnd w:id="76"/>
      <w:r>
        <w:t xml:space="preserve"> - Structure of ternip.formats package</w:t>
      </w:r>
    </w:p>
    <w:p w:rsidR="0016405A" w:rsidRDefault="0016405A" w:rsidP="00580328">
      <w:r>
        <w:t xml:space="preserve">The ability to add sentence, token and part-of-speech tags to an existing XML document has utility beyond the scope of TERNIP. This ability was used </w:t>
      </w:r>
      <w:r w:rsidR="00526A28">
        <w:t>to develop</w:t>
      </w:r>
      <w:r>
        <w:t xml:space="preserve"> </w:t>
      </w:r>
      <w:r w:rsidR="00526A28">
        <w:t>a wrapper for</w:t>
      </w:r>
      <w:r>
        <w:t xml:space="preserve"> GUTime </w:t>
      </w:r>
      <w:sdt>
        <w:sdtPr>
          <w:id w:val="744841533"/>
          <w:citation/>
        </w:sdtPr>
        <w:sdtContent>
          <w:r>
            <w:fldChar w:fldCharType="begin"/>
          </w:r>
          <w:r>
            <w:instrText xml:space="preserve"> CITATION Ver05 \l 2057 </w:instrText>
          </w:r>
          <w:r>
            <w:fldChar w:fldCharType="separate"/>
          </w:r>
          <w:r>
            <w:rPr>
              <w:noProof/>
            </w:rPr>
            <w:t>(Verhagen, et al., 2005)</w:t>
          </w:r>
          <w:r>
            <w:fldChar w:fldCharType="end"/>
          </w:r>
        </w:sdtContent>
      </w:sdt>
      <w:r w:rsidR="00526A28">
        <w:t>. GUTime requires that TERN documents are marked up with sentence boundaries, token boundaries and part-of-speech data, but the TERN corpus does not contain this and it must be added in pre-processing, and then removed in post-processing before being given to the scorer.</w:t>
      </w:r>
    </w:p>
    <w:p w:rsidR="00580328" w:rsidRPr="00580328" w:rsidRDefault="00526A28" w:rsidP="00580328">
      <w:r>
        <w:t>Similarly, t</w:t>
      </w:r>
      <w:r w:rsidR="0016405A">
        <w:t>he ability to create documents from the internal fo</w:t>
      </w:r>
      <w:r>
        <w:t xml:space="preserve">rmat allows </w:t>
      </w:r>
      <w:r w:rsidR="00385833">
        <w:t>wrappers</w:t>
      </w:r>
      <w:r>
        <w:t xml:space="preserve"> to be created for tools that require a specific input</w:t>
      </w:r>
      <w:r w:rsidR="00385833">
        <w:t xml:space="preserve"> format. This ability was again used with GUTime, to allow it to be evaluated against the TempEval-2 corpus, by first converting to the TERN format and then back again.</w:t>
      </w:r>
    </w:p>
    <w:p w:rsidR="00DC59F0" w:rsidRDefault="00941140" w:rsidP="00D1331F">
      <w:r>
        <w:t>The lack of token offset data in the internal format is problematic for document creation. During the detokenisation process</w:t>
      </w:r>
      <w:r w:rsidR="00487A30">
        <w:t>,</w:t>
      </w:r>
      <w:r>
        <w:t xml:space="preserve"> whitesp</w:t>
      </w:r>
      <w:r w:rsidR="00487A30">
        <w:t xml:space="preserve">ace is inserted between tokens. Token offset data </w:t>
      </w:r>
      <w:r>
        <w:t>can be passed in separately to the internal format, allowing for correct construction of such a document, therefore working around this restriction, and avoiding data unnecessary for recognition/normalisation in the internal format.</w:t>
      </w:r>
      <w:r w:rsidR="00487A30">
        <w:t xml:space="preserve"> In the event token offset data is not necessary, a naïve approach is made to detokenisation, where a single space is inserted between every token.</w:t>
      </w:r>
    </w:p>
    <w:p w:rsidR="00941140" w:rsidRDefault="00941140" w:rsidP="00D1331F">
      <w:pPr>
        <w:sectPr w:rsidR="00941140" w:rsidSect="00DC59F0">
          <w:pgSz w:w="11907" w:h="16840" w:code="9"/>
          <w:pgMar w:top="1134" w:right="1418" w:bottom="1701" w:left="2098" w:header="709" w:footer="709" w:gutter="0"/>
          <w:cols w:space="708"/>
          <w:docGrid w:linePitch="360"/>
        </w:sectPr>
      </w:pPr>
    </w:p>
    <w:p w:rsidR="000104F4" w:rsidRDefault="000104F4" w:rsidP="00DC59F0">
      <w:pPr>
        <w:pStyle w:val="Heading1"/>
      </w:pPr>
      <w:bookmarkStart w:id="77" w:name="_Ref270176962"/>
      <w:bookmarkStart w:id="78" w:name="_Toc270255318"/>
      <w:r>
        <w:lastRenderedPageBreak/>
        <w:t>Evaluation</w:t>
      </w:r>
      <w:bookmarkEnd w:id="77"/>
      <w:bookmarkEnd w:id="78"/>
    </w:p>
    <w:p w:rsidR="000104F4" w:rsidRDefault="000104F4" w:rsidP="00DC59F0">
      <w:pPr>
        <w:pStyle w:val="Heading2"/>
      </w:pPr>
      <w:bookmarkStart w:id="79" w:name="_Toc270255319"/>
      <w:r>
        <w:t>Software Verification</w:t>
      </w:r>
      <w:bookmarkEnd w:id="79"/>
    </w:p>
    <w:p w:rsidR="000104F4" w:rsidRDefault="000104F4" w:rsidP="00DC59F0">
      <w:r>
        <w:t>Talk about unit testing</w:t>
      </w:r>
    </w:p>
    <w:p w:rsidR="000104F4" w:rsidRDefault="000104F4" w:rsidP="00DC59F0">
      <w:pPr>
        <w:pStyle w:val="Heading2"/>
      </w:pPr>
      <w:bookmarkStart w:id="80" w:name="_Toc270255320"/>
      <w:r>
        <w:t>Performance Evaluation</w:t>
      </w:r>
      <w:bookmarkEnd w:id="80"/>
    </w:p>
    <w:p w:rsidR="000104F4" w:rsidRPr="00DC59F0" w:rsidRDefault="000104F4" w:rsidP="00DC59F0">
      <w:r>
        <w:t>…</w:t>
      </w:r>
    </w:p>
    <w:p w:rsidR="000104F4" w:rsidRPr="00A31840" w:rsidRDefault="000104F4" w:rsidP="00A31840">
      <w:pPr>
        <w:sectPr w:rsidR="000104F4" w:rsidRPr="00A31840" w:rsidSect="00DC59F0">
          <w:pgSz w:w="11907" w:h="16840" w:code="9"/>
          <w:pgMar w:top="1134" w:right="1418" w:bottom="1701" w:left="2098" w:header="709" w:footer="709" w:gutter="0"/>
          <w:cols w:space="708"/>
          <w:docGrid w:linePitch="360"/>
        </w:sectPr>
      </w:pPr>
    </w:p>
    <w:p w:rsidR="001E3E3B" w:rsidRDefault="001E3E3B" w:rsidP="00DC59F0">
      <w:pPr>
        <w:pStyle w:val="Heading1"/>
      </w:pPr>
      <w:bookmarkStart w:id="81" w:name="_Toc270255321"/>
      <w:bookmarkStart w:id="82" w:name="_Ref270432977"/>
      <w:r>
        <w:lastRenderedPageBreak/>
        <w:t>Discussion</w:t>
      </w:r>
      <w:bookmarkEnd w:id="81"/>
      <w:bookmarkEnd w:id="82"/>
    </w:p>
    <w:p w:rsidR="001E3E3B" w:rsidRDefault="001E3E3B" w:rsidP="001E3E3B">
      <w:r>
        <w:t>Things to cover include:</w:t>
      </w:r>
    </w:p>
    <w:p w:rsidR="001D25EF" w:rsidRDefault="001D25EF" w:rsidP="00D36E6B">
      <w:pPr>
        <w:pStyle w:val="ListParagraph"/>
        <w:numPr>
          <w:ilvl w:val="0"/>
          <w:numId w:val="5"/>
        </w:numPr>
      </w:pPr>
      <w:r>
        <w:t xml:space="preserve">Criticism of GUTime – not really ported to TIMEX3 well (VAL vs. VALUE, </w:t>
      </w:r>
      <w:proofErr w:type="spellStart"/>
      <w:r>
        <w:t>etc</w:t>
      </w:r>
      <w:proofErr w:type="spellEnd"/>
      <w:r>
        <w:t>)</w:t>
      </w:r>
    </w:p>
    <w:p w:rsidR="001E3E3B" w:rsidRDefault="001E3E3B" w:rsidP="00D36E6B">
      <w:pPr>
        <w:pStyle w:val="ListParagraph"/>
        <w:numPr>
          <w:ilvl w:val="0"/>
          <w:numId w:val="5"/>
        </w:numPr>
      </w:pPr>
      <w:r>
        <w:t>Perceived deficiencies in the TimeML spec, specifically the QUANT field</w:t>
      </w:r>
      <w:r w:rsidR="00ED5A76">
        <w:t xml:space="preserve">, </w:t>
      </w:r>
      <w:r w:rsidR="00185A64">
        <w:t xml:space="preserve">ambiguities in ISO spec: </w:t>
      </w:r>
      <w:r w:rsidR="00ED5A76">
        <w:t xml:space="preserve">ISO basic/extended </w:t>
      </w:r>
      <w:r w:rsidR="00A71307">
        <w:t>both allowed, also issuing with scoring software. Is P7D = P1W?</w:t>
      </w:r>
    </w:p>
    <w:p w:rsidR="001E3E3B" w:rsidRDefault="001E3E3B" w:rsidP="00D36E6B">
      <w:pPr>
        <w:pStyle w:val="ListParagraph"/>
        <w:numPr>
          <w:ilvl w:val="0"/>
          <w:numId w:val="5"/>
        </w:numPr>
      </w:pPr>
      <w:r>
        <w:t xml:space="preserve">Difficulties of making engine tag neutral because of differences in set notation between </w:t>
      </w:r>
      <w:r w:rsidR="00ED5A76">
        <w:t>TIMEX2 and TIMEX3. TIMEX object very TIMEX3 oriented – a theoretical TIMEX4, or indeed completely different notation will be different</w:t>
      </w:r>
    </w:p>
    <w:p w:rsidR="00ED5A76" w:rsidRDefault="00ED5A76" w:rsidP="00D36E6B">
      <w:pPr>
        <w:pStyle w:val="ListParagraph"/>
        <w:numPr>
          <w:ilvl w:val="0"/>
          <w:numId w:val="5"/>
        </w:numPr>
      </w:pPr>
      <w:r>
        <w:t>Internal use of ISO8601 basic also problematic, perhaps a more abstract object would have been better (but possibly made rules more verbose)</w:t>
      </w:r>
    </w:p>
    <w:p w:rsidR="008B78B5" w:rsidRDefault="008B78B5" w:rsidP="00D36E6B">
      <w:pPr>
        <w:pStyle w:val="ListParagraph"/>
        <w:numPr>
          <w:ilvl w:val="0"/>
          <w:numId w:val="5"/>
        </w:numPr>
      </w:pPr>
      <w:r>
        <w:t xml:space="preserve">How corpora suck in terms of XML. TERN problematic particularly because it’s SGML, so XML parser sometimes struggles. Others have S, LEX, </w:t>
      </w:r>
      <w:proofErr w:type="spellStart"/>
      <w:r>
        <w:t>etc</w:t>
      </w:r>
      <w:proofErr w:type="spellEnd"/>
      <w:r>
        <w:t xml:space="preserve">, tags, mixed in with </w:t>
      </w:r>
      <w:proofErr w:type="gramStart"/>
      <w:r>
        <w:t>TimeML which</w:t>
      </w:r>
      <w:proofErr w:type="gramEnd"/>
      <w:r>
        <w:t xml:space="preserve"> makes no sense… Would be good for TimeML to define a namespace so it can be sensibly used in other XML documents</w:t>
      </w:r>
    </w:p>
    <w:p w:rsidR="001E3E3B" w:rsidRDefault="001E3E3B" w:rsidP="001E3E3B">
      <w:pPr>
        <w:sectPr w:rsidR="001E3E3B" w:rsidSect="00DC59F0">
          <w:pgSz w:w="11907" w:h="16840" w:code="9"/>
          <w:pgMar w:top="1134" w:right="1418" w:bottom="1701" w:left="2098" w:header="709" w:footer="709" w:gutter="0"/>
          <w:cols w:space="708"/>
          <w:docGrid w:linePitch="360"/>
        </w:sectPr>
      </w:pPr>
    </w:p>
    <w:bookmarkStart w:id="83" w:name="_Toc270255322" w:displacedByCustomXml="next"/>
    <w:sdt>
      <w:sdtPr>
        <w:rPr>
          <w:smallCaps w:val="0"/>
          <w:spacing w:val="0"/>
          <w:sz w:val="24"/>
          <w:szCs w:val="20"/>
        </w:rPr>
        <w:id w:val="494819507"/>
        <w:docPartObj>
          <w:docPartGallery w:val="Bibliographies"/>
          <w:docPartUnique/>
        </w:docPartObj>
      </w:sdtPr>
      <w:sdtContent>
        <w:bookmarkStart w:id="84" w:name="_Toc261719277" w:displacedByCustomXml="prev"/>
        <w:bookmarkStart w:id="85" w:name="_Toc261719354" w:displacedByCustomXml="prev"/>
        <w:bookmarkStart w:id="86" w:name="_Toc261719408" w:displacedByCustomXml="prev"/>
        <w:p w:rsidR="00AA1B5D" w:rsidRDefault="00AA1B5D">
          <w:pPr>
            <w:pStyle w:val="Heading1"/>
          </w:pPr>
          <w:r>
            <w:t>Bibliography</w:t>
          </w:r>
          <w:bookmarkEnd w:id="83"/>
          <w:bookmarkEnd w:id="86"/>
          <w:bookmarkEnd w:id="85"/>
          <w:bookmarkEnd w:id="84"/>
        </w:p>
        <w:sdt>
          <w:sdtPr>
            <w:id w:val="111145805"/>
            <w:bibliography/>
          </w:sdtPr>
          <w:sdtContent>
            <w:p w:rsidR="0013651A" w:rsidRDefault="00B225E2" w:rsidP="0013651A">
              <w:pPr>
                <w:pStyle w:val="Bibliography"/>
                <w:ind w:left="720" w:hanging="720"/>
                <w:rPr>
                  <w:noProof/>
                </w:rPr>
              </w:pPr>
              <w:r>
                <w:fldChar w:fldCharType="begin"/>
              </w:r>
              <w:r w:rsidR="00AA1B5D">
                <w:instrText xml:space="preserve"> BIBLIOGRAPHY </w:instrText>
              </w:r>
              <w:r>
                <w:fldChar w:fldCharType="separate"/>
              </w:r>
              <w:r w:rsidR="0013651A">
                <w:rPr>
                  <w:noProof/>
                </w:rPr>
                <w:t xml:space="preserve">Ahn, D., Adafre, S. F., &amp; de Rijke, M. (2005). Recognizing and Interpreting Temporal Expressions in Open Domain Texts. In S. N. Artëmov, H. Barringer, A. S. d'Avila Garcez, L. C. Lamb, &amp; J. Woods (Eds.), </w:t>
              </w:r>
              <w:r w:rsidR="0013651A">
                <w:rPr>
                  <w:i/>
                  <w:iCs/>
                  <w:noProof/>
                </w:rPr>
                <w:t>We Will Show Them: Essays in Honour of Dov Gabbay</w:t>
              </w:r>
              <w:r w:rsidR="0013651A">
                <w:rPr>
                  <w:noProof/>
                </w:rPr>
                <w:t xml:space="preserve"> (Vol. 1, pp. 31-50). College Publications.</w:t>
              </w:r>
            </w:p>
            <w:p w:rsidR="0013651A" w:rsidRDefault="0013651A" w:rsidP="0013651A">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13651A" w:rsidRDefault="0013651A" w:rsidP="0013651A">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13651A" w:rsidRDefault="0013651A" w:rsidP="0013651A">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13651A" w:rsidRDefault="0013651A" w:rsidP="0013651A">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13651A" w:rsidRDefault="0013651A" w:rsidP="0013651A">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13651A" w:rsidRDefault="0013651A" w:rsidP="0013651A">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13651A" w:rsidRDefault="0013651A" w:rsidP="0013651A">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13651A" w:rsidRDefault="0013651A" w:rsidP="0013651A">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13651A" w:rsidRDefault="0013651A" w:rsidP="0013651A">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13651A" w:rsidRDefault="0013651A" w:rsidP="0013651A">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13651A" w:rsidRDefault="0013651A" w:rsidP="0013651A">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13651A" w:rsidRDefault="0013651A" w:rsidP="0013651A">
              <w:pPr>
                <w:pStyle w:val="Bibliography"/>
                <w:ind w:left="720" w:hanging="720"/>
                <w:rPr>
                  <w:noProof/>
                </w:rPr>
              </w:pPr>
              <w:r>
                <w:rPr>
                  <w:noProof/>
                </w:rPr>
                <w:t xml:space="preserve">Mani, I., &amp; Wilson, G. (2000). Robust temporal processing of news. </w:t>
              </w:r>
              <w:r>
                <w:rPr>
                  <w:i/>
                  <w:iCs/>
                  <w:noProof/>
                </w:rPr>
                <w:t xml:space="preserve">ACL '00: Proceedings of the 38th Annual Meeting on Association for Computational </w:t>
              </w:r>
              <w:r>
                <w:rPr>
                  <w:i/>
                  <w:iCs/>
                  <w:noProof/>
                </w:rPr>
                <w:lastRenderedPageBreak/>
                <w:t>Linguistics</w:t>
              </w:r>
              <w:r>
                <w:rPr>
                  <w:noProof/>
                </w:rPr>
                <w:t xml:space="preserve"> (pp. 69-76). Morristown, NJ, USA: Association for Computational Linguistics.</w:t>
              </w:r>
            </w:p>
            <w:p w:rsidR="0013651A" w:rsidRDefault="0013651A" w:rsidP="0013651A">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13651A" w:rsidRDefault="0013651A" w:rsidP="0013651A">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13651A" w:rsidRDefault="0013651A" w:rsidP="0013651A">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13651A" w:rsidRDefault="0013651A" w:rsidP="0013651A">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13651A" w:rsidRDefault="0013651A" w:rsidP="0013651A">
              <w:pPr>
                <w:pStyle w:val="Bibliography"/>
                <w:ind w:left="720" w:hanging="720"/>
                <w:rPr>
                  <w:noProof/>
                </w:rPr>
              </w:pPr>
              <w:r>
                <w:rPr>
                  <w:noProof/>
                </w:rPr>
                <w:t xml:space="preserve">Northwood, C. (2010). </w:t>
              </w:r>
              <w:r>
                <w:rPr>
                  <w:i/>
                  <w:iCs/>
                  <w:noProof/>
                </w:rPr>
                <w:t>TERNIP: Temporal Expression Recognition and Normalisation in Python - Project Proposal.</w:t>
              </w:r>
              <w:r>
                <w:rPr>
                  <w:noProof/>
                </w:rPr>
                <w:t xml:space="preserve"> Department of Computer Science, University of Sheffield.</w:t>
              </w:r>
            </w:p>
            <w:p w:rsidR="0013651A" w:rsidRDefault="0013651A" w:rsidP="0013651A">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13651A" w:rsidRDefault="0013651A" w:rsidP="0013651A">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13651A" w:rsidRDefault="0013651A" w:rsidP="0013651A">
              <w:pPr>
                <w:pStyle w:val="Bibliography"/>
                <w:ind w:left="720" w:hanging="720"/>
                <w:rPr>
                  <w:noProof/>
                </w:rPr>
              </w:pPr>
              <w:r>
                <w:rPr>
                  <w:noProof/>
                </w:rPr>
                <w:t>Pustejovsky, J., Verhagen, M., Sauri, R., Littman, J., Gaizauskas, R., Katz, G., et al. (2006, April 17). TimeBank 1.2. Philadelphia: Linguistic Data Consortium.</w:t>
              </w:r>
            </w:p>
            <w:p w:rsidR="0013651A" w:rsidRDefault="0013651A" w:rsidP="0013651A">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13651A" w:rsidRDefault="0013651A" w:rsidP="0013651A">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13651A" w:rsidRDefault="0013651A" w:rsidP="0013651A">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13651A" w:rsidRDefault="0013651A" w:rsidP="0013651A">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13651A" w:rsidRDefault="0013651A" w:rsidP="0013651A">
              <w:pPr>
                <w:pStyle w:val="Bibliography"/>
                <w:ind w:left="720" w:hanging="720"/>
                <w:rPr>
                  <w:noProof/>
                </w:rPr>
              </w:pPr>
              <w:r>
                <w:rPr>
                  <w:noProof/>
                </w:rPr>
                <w:lastRenderedPageBreak/>
                <w:t xml:space="preserve">van Rossum, G. (1995). </w:t>
              </w:r>
              <w:r>
                <w:rPr>
                  <w:i/>
                  <w:iCs/>
                  <w:noProof/>
                </w:rPr>
                <w:t>Python Reference Manual.</w:t>
              </w:r>
              <w:r>
                <w:rPr>
                  <w:noProof/>
                </w:rPr>
                <w:t xml:space="preserve"> CWI Report CS-R9525.</w:t>
              </w:r>
            </w:p>
            <w:p w:rsidR="0013651A" w:rsidRDefault="0013651A" w:rsidP="0013651A">
              <w:pPr>
                <w:pStyle w:val="Bibliography"/>
                <w:ind w:left="720" w:hanging="720"/>
                <w:rPr>
                  <w:noProof/>
                </w:rPr>
              </w:pPr>
              <w:r>
                <w:rPr>
                  <w:noProof/>
                </w:rPr>
                <w:t xml:space="preserve">Verhagen, M. (2004). </w:t>
              </w:r>
              <w:r>
                <w:rPr>
                  <w:i/>
                  <w:iCs/>
                  <w:noProof/>
                </w:rPr>
                <w:t>Times Between the Lines.</w:t>
              </w:r>
              <w:r>
                <w:rPr>
                  <w:noProof/>
                </w:rPr>
                <w:t xml:space="preserve"> Waltham, MA, USA: Brandeis University.</w:t>
              </w:r>
            </w:p>
            <w:p w:rsidR="0013651A" w:rsidRDefault="0013651A" w:rsidP="0013651A">
              <w:pPr>
                <w:pStyle w:val="Bibliography"/>
                <w:ind w:left="720" w:hanging="720"/>
                <w:rPr>
                  <w:noProof/>
                </w:rPr>
              </w:pPr>
              <w:r>
                <w:rPr>
                  <w:noProof/>
                </w:rPr>
                <w:t>Verhagen, M., &amp; Moszkowicz, J. (2008, January). AQUAINT TimeML 1.0 Corpus. Brandeis University.</w:t>
              </w:r>
            </w:p>
            <w:p w:rsidR="0013651A" w:rsidRDefault="0013651A" w:rsidP="0013651A">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13651A">
              <w:r>
                <w:fldChar w:fldCharType="end"/>
              </w:r>
            </w:p>
          </w:sdtContent>
        </w:sdt>
      </w:sdtContent>
    </w:sdt>
    <w:p w:rsidR="00AA1B5D" w:rsidRPr="00AA1B5D" w:rsidRDefault="00AA1B5D" w:rsidP="00AA1B5D">
      <w:pPr>
        <w:rPr>
          <w:lang w:eastAsia="zh-TW"/>
        </w:rPr>
      </w:pPr>
    </w:p>
    <w:sectPr w:rsidR="00AA1B5D" w:rsidRPr="00AA1B5D" w:rsidSect="00DC59F0">
      <w:pgSz w:w="11907" w:h="16840" w:code="9"/>
      <w:pgMar w:top="1134" w:right="1418" w:bottom="1134" w:left="20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5ED" w:rsidRDefault="003E65ED" w:rsidP="008873C3">
      <w:pPr>
        <w:spacing w:after="0" w:line="240" w:lineRule="auto"/>
      </w:pPr>
      <w:r>
        <w:separator/>
      </w:r>
    </w:p>
    <w:p w:rsidR="003E65ED" w:rsidRDefault="003E65ED"/>
  </w:endnote>
  <w:endnote w:type="continuationSeparator" w:id="0">
    <w:p w:rsidR="003E65ED" w:rsidRDefault="003E65ED" w:rsidP="008873C3">
      <w:pPr>
        <w:spacing w:after="0" w:line="240" w:lineRule="auto"/>
      </w:pPr>
      <w:r>
        <w:continuationSeparator/>
      </w:r>
    </w:p>
    <w:p w:rsidR="003E65ED" w:rsidRDefault="003E65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8C7" w:rsidRDefault="00F448C7" w:rsidP="00064F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F448C7" w:rsidRDefault="00F448C7">
        <w:pPr>
          <w:pStyle w:val="Footer"/>
          <w:jc w:val="center"/>
        </w:pPr>
      </w:p>
    </w:sdtContent>
  </w:sdt>
  <w:p w:rsidR="00F448C7" w:rsidRDefault="00F448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F448C7" w:rsidRDefault="00F448C7" w:rsidP="000E557A">
        <w:pPr>
          <w:pStyle w:val="Footer"/>
          <w:jc w:val="center"/>
        </w:pPr>
        <w:r>
          <w:fldChar w:fldCharType="begin"/>
        </w:r>
        <w:r>
          <w:instrText xml:space="preserve"> PAGE   \* MERGEFORMAT </w:instrText>
        </w:r>
        <w:r>
          <w:fldChar w:fldCharType="separate"/>
        </w:r>
        <w:r w:rsidR="00960E3E">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F448C7" w:rsidRDefault="00F448C7"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F448C7" w:rsidRDefault="00F448C7" w:rsidP="000E557A">
        <w:pPr>
          <w:pStyle w:val="Footer"/>
          <w:jc w:val="center"/>
        </w:pPr>
        <w:r>
          <w:fldChar w:fldCharType="begin"/>
        </w:r>
        <w:r>
          <w:instrText xml:space="preserve"> PAGE   \* MERGEFORMAT </w:instrText>
        </w:r>
        <w:r>
          <w:fldChar w:fldCharType="separate"/>
        </w:r>
        <w:r w:rsidR="00234FAA">
          <w:rPr>
            <w:noProof/>
          </w:rPr>
          <w:t>13</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F448C7" w:rsidRDefault="00F448C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448C7" w:rsidRDefault="00F448C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Content>
      <w:p w:rsidR="00F448C7" w:rsidRDefault="00F448C7" w:rsidP="000E557A">
        <w:pPr>
          <w:pStyle w:val="Footer"/>
          <w:jc w:val="center"/>
        </w:pPr>
        <w:r>
          <w:fldChar w:fldCharType="begin"/>
        </w:r>
        <w:r>
          <w:instrText xml:space="preserve"> PAGE   \* MERGEFORMAT </w:instrText>
        </w:r>
        <w:r>
          <w:fldChar w:fldCharType="separate"/>
        </w:r>
        <w:r w:rsidR="00234FAA">
          <w:rPr>
            <w:noProof/>
          </w:rPr>
          <w:t>14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5ED" w:rsidRDefault="003E65ED" w:rsidP="008873C3">
      <w:pPr>
        <w:spacing w:after="0" w:line="240" w:lineRule="auto"/>
      </w:pPr>
      <w:r>
        <w:separator/>
      </w:r>
    </w:p>
    <w:p w:rsidR="003E65ED" w:rsidRDefault="003E65ED"/>
  </w:footnote>
  <w:footnote w:type="continuationSeparator" w:id="0">
    <w:p w:rsidR="003E65ED" w:rsidRDefault="003E65ED" w:rsidP="008873C3">
      <w:pPr>
        <w:spacing w:after="0" w:line="240" w:lineRule="auto"/>
      </w:pPr>
      <w:r>
        <w:continuationSeparator/>
      </w:r>
    </w:p>
    <w:p w:rsidR="003E65ED" w:rsidRDefault="003E65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8C7" w:rsidRDefault="00F448C7"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8C7" w:rsidRDefault="00F448C7"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8C7" w:rsidRDefault="00F448C7"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8C7" w:rsidRDefault="00F448C7" w:rsidP="00314655">
    <w:pPr>
      <w:jc w:val="left"/>
    </w:pPr>
    <w:sdt>
      <w:sdtPr>
        <w:rPr>
          <w:rStyle w:val="BookTitle"/>
        </w:rPr>
        <w:alias w:val="Title"/>
        <w:id w:val="124468328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D541E4"/>
    <w:multiLevelType w:val="hybridMultilevel"/>
    <w:tmpl w:val="271A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4">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5">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B9C"/>
    <w:rsid w:val="00016F5A"/>
    <w:rsid w:val="000170FA"/>
    <w:rsid w:val="00017EE0"/>
    <w:rsid w:val="00020999"/>
    <w:rsid w:val="00020AFA"/>
    <w:rsid w:val="00021908"/>
    <w:rsid w:val="00023BBB"/>
    <w:rsid w:val="00024206"/>
    <w:rsid w:val="000276BC"/>
    <w:rsid w:val="00031A29"/>
    <w:rsid w:val="00031D16"/>
    <w:rsid w:val="0003273E"/>
    <w:rsid w:val="000354D1"/>
    <w:rsid w:val="00035856"/>
    <w:rsid w:val="0004313E"/>
    <w:rsid w:val="000468C6"/>
    <w:rsid w:val="0004720A"/>
    <w:rsid w:val="00047827"/>
    <w:rsid w:val="00050E2C"/>
    <w:rsid w:val="000527E3"/>
    <w:rsid w:val="00053D91"/>
    <w:rsid w:val="0005423D"/>
    <w:rsid w:val="00056F4B"/>
    <w:rsid w:val="0006447F"/>
    <w:rsid w:val="00064F31"/>
    <w:rsid w:val="00067829"/>
    <w:rsid w:val="00070A98"/>
    <w:rsid w:val="00071458"/>
    <w:rsid w:val="0007233D"/>
    <w:rsid w:val="00072614"/>
    <w:rsid w:val="00072F9B"/>
    <w:rsid w:val="000736C5"/>
    <w:rsid w:val="00076193"/>
    <w:rsid w:val="00076B91"/>
    <w:rsid w:val="000840FB"/>
    <w:rsid w:val="00085F93"/>
    <w:rsid w:val="00086D0E"/>
    <w:rsid w:val="00090772"/>
    <w:rsid w:val="00090ADF"/>
    <w:rsid w:val="00090CEC"/>
    <w:rsid w:val="00092057"/>
    <w:rsid w:val="00093601"/>
    <w:rsid w:val="00095A9D"/>
    <w:rsid w:val="00095B16"/>
    <w:rsid w:val="000964DA"/>
    <w:rsid w:val="000973A5"/>
    <w:rsid w:val="000A06F3"/>
    <w:rsid w:val="000A17DF"/>
    <w:rsid w:val="000A36F4"/>
    <w:rsid w:val="000A5402"/>
    <w:rsid w:val="000A6020"/>
    <w:rsid w:val="000A6102"/>
    <w:rsid w:val="000A7E01"/>
    <w:rsid w:val="000B14EE"/>
    <w:rsid w:val="000B274F"/>
    <w:rsid w:val="000B2EB1"/>
    <w:rsid w:val="000B4A9A"/>
    <w:rsid w:val="000B543C"/>
    <w:rsid w:val="000B577E"/>
    <w:rsid w:val="000C0FFF"/>
    <w:rsid w:val="000C1AC1"/>
    <w:rsid w:val="000C27E9"/>
    <w:rsid w:val="000C28E3"/>
    <w:rsid w:val="000C38A8"/>
    <w:rsid w:val="000C46E6"/>
    <w:rsid w:val="000C6588"/>
    <w:rsid w:val="000C68BF"/>
    <w:rsid w:val="000C7D70"/>
    <w:rsid w:val="000D03F7"/>
    <w:rsid w:val="000D4874"/>
    <w:rsid w:val="000D5711"/>
    <w:rsid w:val="000D6316"/>
    <w:rsid w:val="000E0C63"/>
    <w:rsid w:val="000E1FCC"/>
    <w:rsid w:val="000E2441"/>
    <w:rsid w:val="000E2E88"/>
    <w:rsid w:val="000E34B0"/>
    <w:rsid w:val="000E3993"/>
    <w:rsid w:val="000E433A"/>
    <w:rsid w:val="000E4FDE"/>
    <w:rsid w:val="000E557A"/>
    <w:rsid w:val="000E6645"/>
    <w:rsid w:val="000E71F9"/>
    <w:rsid w:val="000E754E"/>
    <w:rsid w:val="000F10B2"/>
    <w:rsid w:val="000F1837"/>
    <w:rsid w:val="000F604D"/>
    <w:rsid w:val="000F73F9"/>
    <w:rsid w:val="0010177C"/>
    <w:rsid w:val="00105435"/>
    <w:rsid w:val="00105A58"/>
    <w:rsid w:val="00106B69"/>
    <w:rsid w:val="001136FE"/>
    <w:rsid w:val="00113733"/>
    <w:rsid w:val="00113B79"/>
    <w:rsid w:val="001144B5"/>
    <w:rsid w:val="00115FCA"/>
    <w:rsid w:val="00116544"/>
    <w:rsid w:val="00120475"/>
    <w:rsid w:val="00120671"/>
    <w:rsid w:val="001213E2"/>
    <w:rsid w:val="00121CF7"/>
    <w:rsid w:val="00122065"/>
    <w:rsid w:val="0012394D"/>
    <w:rsid w:val="00123BB1"/>
    <w:rsid w:val="00124DF5"/>
    <w:rsid w:val="00125BAD"/>
    <w:rsid w:val="00126FD2"/>
    <w:rsid w:val="00127325"/>
    <w:rsid w:val="0012786E"/>
    <w:rsid w:val="00130070"/>
    <w:rsid w:val="001317FF"/>
    <w:rsid w:val="0013250D"/>
    <w:rsid w:val="00132E7F"/>
    <w:rsid w:val="00132F55"/>
    <w:rsid w:val="00132FE1"/>
    <w:rsid w:val="001345BE"/>
    <w:rsid w:val="00134EDC"/>
    <w:rsid w:val="0013651A"/>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05A"/>
    <w:rsid w:val="001644BC"/>
    <w:rsid w:val="00170962"/>
    <w:rsid w:val="00171F81"/>
    <w:rsid w:val="00175014"/>
    <w:rsid w:val="00180958"/>
    <w:rsid w:val="00182D6C"/>
    <w:rsid w:val="00183030"/>
    <w:rsid w:val="00185A64"/>
    <w:rsid w:val="00187555"/>
    <w:rsid w:val="001907DB"/>
    <w:rsid w:val="00192D41"/>
    <w:rsid w:val="001943DD"/>
    <w:rsid w:val="001947B0"/>
    <w:rsid w:val="00197EFC"/>
    <w:rsid w:val="001A3726"/>
    <w:rsid w:val="001A4E34"/>
    <w:rsid w:val="001A51A7"/>
    <w:rsid w:val="001A5570"/>
    <w:rsid w:val="001A6585"/>
    <w:rsid w:val="001A6A9A"/>
    <w:rsid w:val="001A7366"/>
    <w:rsid w:val="001B2324"/>
    <w:rsid w:val="001B23A5"/>
    <w:rsid w:val="001B2DC9"/>
    <w:rsid w:val="001B422D"/>
    <w:rsid w:val="001B6539"/>
    <w:rsid w:val="001C1655"/>
    <w:rsid w:val="001C2150"/>
    <w:rsid w:val="001C25D0"/>
    <w:rsid w:val="001C4877"/>
    <w:rsid w:val="001C6944"/>
    <w:rsid w:val="001C7455"/>
    <w:rsid w:val="001D153C"/>
    <w:rsid w:val="001D25EF"/>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55E2"/>
    <w:rsid w:val="001F5976"/>
    <w:rsid w:val="001F776A"/>
    <w:rsid w:val="001F796C"/>
    <w:rsid w:val="001F7E22"/>
    <w:rsid w:val="0020198A"/>
    <w:rsid w:val="00203B27"/>
    <w:rsid w:val="00203F4B"/>
    <w:rsid w:val="002052D2"/>
    <w:rsid w:val="00211782"/>
    <w:rsid w:val="00211E3B"/>
    <w:rsid w:val="0021424D"/>
    <w:rsid w:val="002154F5"/>
    <w:rsid w:val="0021620E"/>
    <w:rsid w:val="00216926"/>
    <w:rsid w:val="0021705B"/>
    <w:rsid w:val="002170DB"/>
    <w:rsid w:val="00220F26"/>
    <w:rsid w:val="002257C5"/>
    <w:rsid w:val="00230037"/>
    <w:rsid w:val="002326AA"/>
    <w:rsid w:val="00233BF9"/>
    <w:rsid w:val="00234FAA"/>
    <w:rsid w:val="00235900"/>
    <w:rsid w:val="00235C28"/>
    <w:rsid w:val="00241DC7"/>
    <w:rsid w:val="002431DF"/>
    <w:rsid w:val="0024340D"/>
    <w:rsid w:val="002450EE"/>
    <w:rsid w:val="00246423"/>
    <w:rsid w:val="0024712F"/>
    <w:rsid w:val="00250886"/>
    <w:rsid w:val="002513FB"/>
    <w:rsid w:val="00253C60"/>
    <w:rsid w:val="0025529A"/>
    <w:rsid w:val="00256BB5"/>
    <w:rsid w:val="00262D1A"/>
    <w:rsid w:val="002653FD"/>
    <w:rsid w:val="00265F74"/>
    <w:rsid w:val="0027207E"/>
    <w:rsid w:val="002722ED"/>
    <w:rsid w:val="002833CF"/>
    <w:rsid w:val="0028408C"/>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989"/>
    <w:rsid w:val="002B2CEC"/>
    <w:rsid w:val="002B5AD1"/>
    <w:rsid w:val="002C155E"/>
    <w:rsid w:val="002C1653"/>
    <w:rsid w:val="002C20DE"/>
    <w:rsid w:val="002C5F4F"/>
    <w:rsid w:val="002C66E4"/>
    <w:rsid w:val="002C6E9B"/>
    <w:rsid w:val="002C7AC9"/>
    <w:rsid w:val="002C7BF6"/>
    <w:rsid w:val="002C7C73"/>
    <w:rsid w:val="002D5B5E"/>
    <w:rsid w:val="002D66B8"/>
    <w:rsid w:val="002D7A35"/>
    <w:rsid w:val="002D7B44"/>
    <w:rsid w:val="002E3237"/>
    <w:rsid w:val="002E3F95"/>
    <w:rsid w:val="002E6351"/>
    <w:rsid w:val="002E6AD9"/>
    <w:rsid w:val="002E6FFB"/>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47F2"/>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5833"/>
    <w:rsid w:val="00387E64"/>
    <w:rsid w:val="00392E0C"/>
    <w:rsid w:val="00393381"/>
    <w:rsid w:val="003936EE"/>
    <w:rsid w:val="00393DBB"/>
    <w:rsid w:val="0039631E"/>
    <w:rsid w:val="00396E1A"/>
    <w:rsid w:val="003A07E5"/>
    <w:rsid w:val="003A0B53"/>
    <w:rsid w:val="003A1F8E"/>
    <w:rsid w:val="003A2D40"/>
    <w:rsid w:val="003A559A"/>
    <w:rsid w:val="003A6991"/>
    <w:rsid w:val="003B00C5"/>
    <w:rsid w:val="003B0D91"/>
    <w:rsid w:val="003B0E5A"/>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462F"/>
    <w:rsid w:val="003D6231"/>
    <w:rsid w:val="003D71EC"/>
    <w:rsid w:val="003D7405"/>
    <w:rsid w:val="003E1027"/>
    <w:rsid w:val="003E1130"/>
    <w:rsid w:val="003E3492"/>
    <w:rsid w:val="003E3A42"/>
    <w:rsid w:val="003E41A5"/>
    <w:rsid w:val="003E46CA"/>
    <w:rsid w:val="003E65ED"/>
    <w:rsid w:val="003F140C"/>
    <w:rsid w:val="003F183B"/>
    <w:rsid w:val="003F20E2"/>
    <w:rsid w:val="003F287A"/>
    <w:rsid w:val="003F312A"/>
    <w:rsid w:val="003F4BA5"/>
    <w:rsid w:val="003F514E"/>
    <w:rsid w:val="003F5174"/>
    <w:rsid w:val="003F5640"/>
    <w:rsid w:val="003F7B62"/>
    <w:rsid w:val="00401F2F"/>
    <w:rsid w:val="00404F48"/>
    <w:rsid w:val="00407FF1"/>
    <w:rsid w:val="00410A93"/>
    <w:rsid w:val="00410C6A"/>
    <w:rsid w:val="004111DB"/>
    <w:rsid w:val="004142D0"/>
    <w:rsid w:val="00421061"/>
    <w:rsid w:val="00421223"/>
    <w:rsid w:val="00422437"/>
    <w:rsid w:val="004234C5"/>
    <w:rsid w:val="00425259"/>
    <w:rsid w:val="004353C7"/>
    <w:rsid w:val="004353FF"/>
    <w:rsid w:val="004368E0"/>
    <w:rsid w:val="00436C81"/>
    <w:rsid w:val="0043735A"/>
    <w:rsid w:val="00437490"/>
    <w:rsid w:val="00442842"/>
    <w:rsid w:val="004438BE"/>
    <w:rsid w:val="004448B3"/>
    <w:rsid w:val="00445947"/>
    <w:rsid w:val="0044685F"/>
    <w:rsid w:val="0044783C"/>
    <w:rsid w:val="00450288"/>
    <w:rsid w:val="00451E90"/>
    <w:rsid w:val="00453DF0"/>
    <w:rsid w:val="00454B84"/>
    <w:rsid w:val="00455330"/>
    <w:rsid w:val="004562D9"/>
    <w:rsid w:val="00456324"/>
    <w:rsid w:val="00457C58"/>
    <w:rsid w:val="0046386B"/>
    <w:rsid w:val="004737C6"/>
    <w:rsid w:val="00473D86"/>
    <w:rsid w:val="00473DBC"/>
    <w:rsid w:val="004761A3"/>
    <w:rsid w:val="00483C3A"/>
    <w:rsid w:val="00483D69"/>
    <w:rsid w:val="004852A0"/>
    <w:rsid w:val="00485EB2"/>
    <w:rsid w:val="00487A17"/>
    <w:rsid w:val="00487A30"/>
    <w:rsid w:val="004908B5"/>
    <w:rsid w:val="00490E57"/>
    <w:rsid w:val="004920A9"/>
    <w:rsid w:val="004922BD"/>
    <w:rsid w:val="00492E7B"/>
    <w:rsid w:val="004947B3"/>
    <w:rsid w:val="004A2B9C"/>
    <w:rsid w:val="004A4EC6"/>
    <w:rsid w:val="004A5B81"/>
    <w:rsid w:val="004A6077"/>
    <w:rsid w:val="004A6260"/>
    <w:rsid w:val="004A7B8E"/>
    <w:rsid w:val="004B733A"/>
    <w:rsid w:val="004C1094"/>
    <w:rsid w:val="004C2986"/>
    <w:rsid w:val="004C413E"/>
    <w:rsid w:val="004C5485"/>
    <w:rsid w:val="004C673E"/>
    <w:rsid w:val="004C6FE3"/>
    <w:rsid w:val="004C7489"/>
    <w:rsid w:val="004D14ED"/>
    <w:rsid w:val="004D438E"/>
    <w:rsid w:val="004D4AD7"/>
    <w:rsid w:val="004D4E2F"/>
    <w:rsid w:val="004D70EB"/>
    <w:rsid w:val="004D7756"/>
    <w:rsid w:val="004E3EEF"/>
    <w:rsid w:val="004F0471"/>
    <w:rsid w:val="004F089F"/>
    <w:rsid w:val="004F1008"/>
    <w:rsid w:val="004F105A"/>
    <w:rsid w:val="004F1DC3"/>
    <w:rsid w:val="004F21F8"/>
    <w:rsid w:val="004F2294"/>
    <w:rsid w:val="004F4210"/>
    <w:rsid w:val="004F4687"/>
    <w:rsid w:val="00500D6F"/>
    <w:rsid w:val="00500FF8"/>
    <w:rsid w:val="005038EC"/>
    <w:rsid w:val="0050459C"/>
    <w:rsid w:val="00506547"/>
    <w:rsid w:val="0050663B"/>
    <w:rsid w:val="00506647"/>
    <w:rsid w:val="00507240"/>
    <w:rsid w:val="0051071B"/>
    <w:rsid w:val="00511AF5"/>
    <w:rsid w:val="00512B1D"/>
    <w:rsid w:val="00512E0C"/>
    <w:rsid w:val="00513711"/>
    <w:rsid w:val="00513DD5"/>
    <w:rsid w:val="00514A07"/>
    <w:rsid w:val="00514C8C"/>
    <w:rsid w:val="00515242"/>
    <w:rsid w:val="005175C7"/>
    <w:rsid w:val="005230E7"/>
    <w:rsid w:val="0052446A"/>
    <w:rsid w:val="00526A28"/>
    <w:rsid w:val="005271C6"/>
    <w:rsid w:val="005272A4"/>
    <w:rsid w:val="00527465"/>
    <w:rsid w:val="005315AE"/>
    <w:rsid w:val="00533224"/>
    <w:rsid w:val="005359F0"/>
    <w:rsid w:val="00537C31"/>
    <w:rsid w:val="00542760"/>
    <w:rsid w:val="00543F4A"/>
    <w:rsid w:val="00545463"/>
    <w:rsid w:val="00550590"/>
    <w:rsid w:val="00553108"/>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0328"/>
    <w:rsid w:val="00582116"/>
    <w:rsid w:val="005827C8"/>
    <w:rsid w:val="00584A94"/>
    <w:rsid w:val="00584C39"/>
    <w:rsid w:val="005850A5"/>
    <w:rsid w:val="0058736C"/>
    <w:rsid w:val="0059002F"/>
    <w:rsid w:val="005906C5"/>
    <w:rsid w:val="00591CBC"/>
    <w:rsid w:val="00592EC6"/>
    <w:rsid w:val="005941FA"/>
    <w:rsid w:val="00594665"/>
    <w:rsid w:val="005947D2"/>
    <w:rsid w:val="005951A8"/>
    <w:rsid w:val="00595342"/>
    <w:rsid w:val="00597112"/>
    <w:rsid w:val="005978EA"/>
    <w:rsid w:val="005A0E7D"/>
    <w:rsid w:val="005A2794"/>
    <w:rsid w:val="005A4EE7"/>
    <w:rsid w:val="005A6156"/>
    <w:rsid w:val="005A61C2"/>
    <w:rsid w:val="005A6E5F"/>
    <w:rsid w:val="005A731A"/>
    <w:rsid w:val="005B2356"/>
    <w:rsid w:val="005B24A7"/>
    <w:rsid w:val="005B2B93"/>
    <w:rsid w:val="005B4D07"/>
    <w:rsid w:val="005B5657"/>
    <w:rsid w:val="005B6440"/>
    <w:rsid w:val="005B69AF"/>
    <w:rsid w:val="005C019B"/>
    <w:rsid w:val="005D0C65"/>
    <w:rsid w:val="005D2A19"/>
    <w:rsid w:val="005D2DE5"/>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544D"/>
    <w:rsid w:val="00615CDB"/>
    <w:rsid w:val="0062066A"/>
    <w:rsid w:val="00620D9A"/>
    <w:rsid w:val="0062194A"/>
    <w:rsid w:val="006243AC"/>
    <w:rsid w:val="006270E6"/>
    <w:rsid w:val="00627209"/>
    <w:rsid w:val="006300BC"/>
    <w:rsid w:val="00630C5C"/>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4E0B"/>
    <w:rsid w:val="00666F2D"/>
    <w:rsid w:val="006728BD"/>
    <w:rsid w:val="006729BA"/>
    <w:rsid w:val="006736D4"/>
    <w:rsid w:val="00673A70"/>
    <w:rsid w:val="006744F8"/>
    <w:rsid w:val="00677B3E"/>
    <w:rsid w:val="00680B69"/>
    <w:rsid w:val="00680C29"/>
    <w:rsid w:val="00680C35"/>
    <w:rsid w:val="00681861"/>
    <w:rsid w:val="00685557"/>
    <w:rsid w:val="00692707"/>
    <w:rsid w:val="00693A82"/>
    <w:rsid w:val="00694003"/>
    <w:rsid w:val="006945D2"/>
    <w:rsid w:val="0069494A"/>
    <w:rsid w:val="00697C68"/>
    <w:rsid w:val="00697EBF"/>
    <w:rsid w:val="006A405E"/>
    <w:rsid w:val="006A41E9"/>
    <w:rsid w:val="006A6072"/>
    <w:rsid w:val="006A678E"/>
    <w:rsid w:val="006B073B"/>
    <w:rsid w:val="006B0B8E"/>
    <w:rsid w:val="006B14C5"/>
    <w:rsid w:val="006B40EB"/>
    <w:rsid w:val="006B4893"/>
    <w:rsid w:val="006B6897"/>
    <w:rsid w:val="006B769F"/>
    <w:rsid w:val="006C035D"/>
    <w:rsid w:val="006C5425"/>
    <w:rsid w:val="006C5BE3"/>
    <w:rsid w:val="006C5E95"/>
    <w:rsid w:val="006C6566"/>
    <w:rsid w:val="006D1DC8"/>
    <w:rsid w:val="006D26EC"/>
    <w:rsid w:val="006D2D62"/>
    <w:rsid w:val="006D4465"/>
    <w:rsid w:val="006D44D6"/>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60F"/>
    <w:rsid w:val="00721771"/>
    <w:rsid w:val="00721830"/>
    <w:rsid w:val="007236FF"/>
    <w:rsid w:val="00724F4E"/>
    <w:rsid w:val="00726A93"/>
    <w:rsid w:val="0073242C"/>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8FD"/>
    <w:rsid w:val="00756AB1"/>
    <w:rsid w:val="007575B4"/>
    <w:rsid w:val="00757E43"/>
    <w:rsid w:val="00760429"/>
    <w:rsid w:val="0076392D"/>
    <w:rsid w:val="0076473C"/>
    <w:rsid w:val="00764CE3"/>
    <w:rsid w:val="007654F9"/>
    <w:rsid w:val="007671AD"/>
    <w:rsid w:val="00767DE9"/>
    <w:rsid w:val="007744A2"/>
    <w:rsid w:val="00775FB7"/>
    <w:rsid w:val="00776DB9"/>
    <w:rsid w:val="007851AB"/>
    <w:rsid w:val="00785CA4"/>
    <w:rsid w:val="00785EA2"/>
    <w:rsid w:val="00786350"/>
    <w:rsid w:val="00786A4F"/>
    <w:rsid w:val="00787629"/>
    <w:rsid w:val="00790F5D"/>
    <w:rsid w:val="00791452"/>
    <w:rsid w:val="00797693"/>
    <w:rsid w:val="007A01BE"/>
    <w:rsid w:val="007A03F6"/>
    <w:rsid w:val="007A0911"/>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6F4D"/>
    <w:rsid w:val="007C74F4"/>
    <w:rsid w:val="007C786F"/>
    <w:rsid w:val="007C7AF5"/>
    <w:rsid w:val="007D2F67"/>
    <w:rsid w:val="007E1EC4"/>
    <w:rsid w:val="007E1ED2"/>
    <w:rsid w:val="007E27D0"/>
    <w:rsid w:val="007E2DD2"/>
    <w:rsid w:val="007E37A6"/>
    <w:rsid w:val="007E4DAC"/>
    <w:rsid w:val="007E53A0"/>
    <w:rsid w:val="007E7287"/>
    <w:rsid w:val="007E7331"/>
    <w:rsid w:val="007E7E41"/>
    <w:rsid w:val="007F135D"/>
    <w:rsid w:val="007F28BF"/>
    <w:rsid w:val="007F3079"/>
    <w:rsid w:val="007F4522"/>
    <w:rsid w:val="007F77E5"/>
    <w:rsid w:val="0080004A"/>
    <w:rsid w:val="008027B3"/>
    <w:rsid w:val="008035D8"/>
    <w:rsid w:val="00804C97"/>
    <w:rsid w:val="00805092"/>
    <w:rsid w:val="00806311"/>
    <w:rsid w:val="00806707"/>
    <w:rsid w:val="00807A7E"/>
    <w:rsid w:val="00807C1F"/>
    <w:rsid w:val="00811407"/>
    <w:rsid w:val="00811D16"/>
    <w:rsid w:val="0081203D"/>
    <w:rsid w:val="008124CE"/>
    <w:rsid w:val="0081481F"/>
    <w:rsid w:val="00814DD5"/>
    <w:rsid w:val="0081772E"/>
    <w:rsid w:val="00821F45"/>
    <w:rsid w:val="008224F5"/>
    <w:rsid w:val="00824A59"/>
    <w:rsid w:val="00827E33"/>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4691F"/>
    <w:rsid w:val="00850A99"/>
    <w:rsid w:val="00850AB3"/>
    <w:rsid w:val="008536FB"/>
    <w:rsid w:val="0085565B"/>
    <w:rsid w:val="008562E5"/>
    <w:rsid w:val="00856EED"/>
    <w:rsid w:val="008575D9"/>
    <w:rsid w:val="0085763E"/>
    <w:rsid w:val="00857C4A"/>
    <w:rsid w:val="00861BFB"/>
    <w:rsid w:val="0086226C"/>
    <w:rsid w:val="00870357"/>
    <w:rsid w:val="00870639"/>
    <w:rsid w:val="008720F6"/>
    <w:rsid w:val="00872419"/>
    <w:rsid w:val="00872548"/>
    <w:rsid w:val="00872B8C"/>
    <w:rsid w:val="008739A6"/>
    <w:rsid w:val="00873E62"/>
    <w:rsid w:val="00877F74"/>
    <w:rsid w:val="00880B96"/>
    <w:rsid w:val="008830C1"/>
    <w:rsid w:val="008831BE"/>
    <w:rsid w:val="008841CD"/>
    <w:rsid w:val="008842F1"/>
    <w:rsid w:val="00886168"/>
    <w:rsid w:val="008873C3"/>
    <w:rsid w:val="008874E5"/>
    <w:rsid w:val="00887A24"/>
    <w:rsid w:val="00891ED8"/>
    <w:rsid w:val="008931BF"/>
    <w:rsid w:val="00893A49"/>
    <w:rsid w:val="00896073"/>
    <w:rsid w:val="008A2764"/>
    <w:rsid w:val="008A27A0"/>
    <w:rsid w:val="008A342B"/>
    <w:rsid w:val="008A37E9"/>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2083"/>
    <w:rsid w:val="008C3293"/>
    <w:rsid w:val="008C4A9F"/>
    <w:rsid w:val="008C59AC"/>
    <w:rsid w:val="008C67CD"/>
    <w:rsid w:val="008C6BA1"/>
    <w:rsid w:val="008C79A7"/>
    <w:rsid w:val="008D06F1"/>
    <w:rsid w:val="008D222D"/>
    <w:rsid w:val="008D2C3E"/>
    <w:rsid w:val="008D3523"/>
    <w:rsid w:val="008D40C1"/>
    <w:rsid w:val="008D4CDA"/>
    <w:rsid w:val="008D5B42"/>
    <w:rsid w:val="008E2582"/>
    <w:rsid w:val="008E36C3"/>
    <w:rsid w:val="008E42B5"/>
    <w:rsid w:val="008E6564"/>
    <w:rsid w:val="008E6DD9"/>
    <w:rsid w:val="008F1980"/>
    <w:rsid w:val="008F4A3B"/>
    <w:rsid w:val="008F5105"/>
    <w:rsid w:val="008F5619"/>
    <w:rsid w:val="008F6CC5"/>
    <w:rsid w:val="00905F28"/>
    <w:rsid w:val="009068A0"/>
    <w:rsid w:val="00910DA1"/>
    <w:rsid w:val="00912536"/>
    <w:rsid w:val="00913B6F"/>
    <w:rsid w:val="0091464C"/>
    <w:rsid w:val="009159A8"/>
    <w:rsid w:val="00915EBC"/>
    <w:rsid w:val="00917F36"/>
    <w:rsid w:val="00922BF2"/>
    <w:rsid w:val="009234A1"/>
    <w:rsid w:val="0092618D"/>
    <w:rsid w:val="00927E69"/>
    <w:rsid w:val="0093063E"/>
    <w:rsid w:val="00930860"/>
    <w:rsid w:val="0093255E"/>
    <w:rsid w:val="009339ED"/>
    <w:rsid w:val="00934E38"/>
    <w:rsid w:val="00941140"/>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0E3E"/>
    <w:rsid w:val="00961428"/>
    <w:rsid w:val="009619DA"/>
    <w:rsid w:val="009659D8"/>
    <w:rsid w:val="0096708E"/>
    <w:rsid w:val="00971187"/>
    <w:rsid w:val="0097122E"/>
    <w:rsid w:val="00971A43"/>
    <w:rsid w:val="009737BB"/>
    <w:rsid w:val="009754A7"/>
    <w:rsid w:val="0097720F"/>
    <w:rsid w:val="009772EA"/>
    <w:rsid w:val="00977CF2"/>
    <w:rsid w:val="00981D16"/>
    <w:rsid w:val="00983318"/>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3FD"/>
    <w:rsid w:val="009C344A"/>
    <w:rsid w:val="009C352A"/>
    <w:rsid w:val="009C531E"/>
    <w:rsid w:val="009C5B29"/>
    <w:rsid w:val="009C7BE5"/>
    <w:rsid w:val="009D126F"/>
    <w:rsid w:val="009D1BA7"/>
    <w:rsid w:val="009D6096"/>
    <w:rsid w:val="009D7416"/>
    <w:rsid w:val="009D7F33"/>
    <w:rsid w:val="009E0368"/>
    <w:rsid w:val="009E3962"/>
    <w:rsid w:val="009E5119"/>
    <w:rsid w:val="009E524D"/>
    <w:rsid w:val="009E6E79"/>
    <w:rsid w:val="009E7FD4"/>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4A14"/>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0B93"/>
    <w:rsid w:val="00A41A94"/>
    <w:rsid w:val="00A44C6A"/>
    <w:rsid w:val="00A456B9"/>
    <w:rsid w:val="00A50715"/>
    <w:rsid w:val="00A50CFA"/>
    <w:rsid w:val="00A51854"/>
    <w:rsid w:val="00A5307E"/>
    <w:rsid w:val="00A538CE"/>
    <w:rsid w:val="00A60028"/>
    <w:rsid w:val="00A60279"/>
    <w:rsid w:val="00A61C3E"/>
    <w:rsid w:val="00A6293A"/>
    <w:rsid w:val="00A6326E"/>
    <w:rsid w:val="00A64185"/>
    <w:rsid w:val="00A65A78"/>
    <w:rsid w:val="00A71307"/>
    <w:rsid w:val="00A71359"/>
    <w:rsid w:val="00A71DA5"/>
    <w:rsid w:val="00A73A52"/>
    <w:rsid w:val="00A75083"/>
    <w:rsid w:val="00A815D8"/>
    <w:rsid w:val="00A823E5"/>
    <w:rsid w:val="00A845A4"/>
    <w:rsid w:val="00A861CC"/>
    <w:rsid w:val="00A9418F"/>
    <w:rsid w:val="00A95DF9"/>
    <w:rsid w:val="00A97CDE"/>
    <w:rsid w:val="00AA09E5"/>
    <w:rsid w:val="00AA1B5D"/>
    <w:rsid w:val="00AA5A87"/>
    <w:rsid w:val="00AA676E"/>
    <w:rsid w:val="00AA6964"/>
    <w:rsid w:val="00AB0368"/>
    <w:rsid w:val="00AB0674"/>
    <w:rsid w:val="00AB0E69"/>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693D"/>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3DF1"/>
    <w:rsid w:val="00B2506C"/>
    <w:rsid w:val="00B26E0C"/>
    <w:rsid w:val="00B30279"/>
    <w:rsid w:val="00B33ACB"/>
    <w:rsid w:val="00B34DE4"/>
    <w:rsid w:val="00B3518B"/>
    <w:rsid w:val="00B3580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53E9"/>
    <w:rsid w:val="00B656CB"/>
    <w:rsid w:val="00B66ACC"/>
    <w:rsid w:val="00B66C55"/>
    <w:rsid w:val="00B66EF4"/>
    <w:rsid w:val="00B70E8C"/>
    <w:rsid w:val="00B75C7B"/>
    <w:rsid w:val="00B76582"/>
    <w:rsid w:val="00B81B4D"/>
    <w:rsid w:val="00B822EA"/>
    <w:rsid w:val="00B82D84"/>
    <w:rsid w:val="00B85873"/>
    <w:rsid w:val="00B86DB1"/>
    <w:rsid w:val="00B87737"/>
    <w:rsid w:val="00B901D9"/>
    <w:rsid w:val="00B91BE0"/>
    <w:rsid w:val="00B933BE"/>
    <w:rsid w:val="00B9341A"/>
    <w:rsid w:val="00B9515B"/>
    <w:rsid w:val="00B968CD"/>
    <w:rsid w:val="00B968DD"/>
    <w:rsid w:val="00B9748A"/>
    <w:rsid w:val="00B97FC6"/>
    <w:rsid w:val="00BA14B3"/>
    <w:rsid w:val="00BA1B7B"/>
    <w:rsid w:val="00BA1DEE"/>
    <w:rsid w:val="00BA2948"/>
    <w:rsid w:val="00BA5989"/>
    <w:rsid w:val="00BA5BDB"/>
    <w:rsid w:val="00BA6144"/>
    <w:rsid w:val="00BA678C"/>
    <w:rsid w:val="00BA697D"/>
    <w:rsid w:val="00BB1D6D"/>
    <w:rsid w:val="00BB26DF"/>
    <w:rsid w:val="00BB3AD3"/>
    <w:rsid w:val="00BB52EF"/>
    <w:rsid w:val="00BB6112"/>
    <w:rsid w:val="00BB6C49"/>
    <w:rsid w:val="00BB7846"/>
    <w:rsid w:val="00BC2EC6"/>
    <w:rsid w:val="00BC32BA"/>
    <w:rsid w:val="00BC6984"/>
    <w:rsid w:val="00BC6D38"/>
    <w:rsid w:val="00BC7296"/>
    <w:rsid w:val="00BC74CD"/>
    <w:rsid w:val="00BC7A92"/>
    <w:rsid w:val="00BD1D83"/>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5C36"/>
    <w:rsid w:val="00C16E3D"/>
    <w:rsid w:val="00C17CA0"/>
    <w:rsid w:val="00C213A4"/>
    <w:rsid w:val="00C220DC"/>
    <w:rsid w:val="00C221A4"/>
    <w:rsid w:val="00C226EB"/>
    <w:rsid w:val="00C237BC"/>
    <w:rsid w:val="00C24218"/>
    <w:rsid w:val="00C24D31"/>
    <w:rsid w:val="00C26455"/>
    <w:rsid w:val="00C2732A"/>
    <w:rsid w:val="00C3352F"/>
    <w:rsid w:val="00C34010"/>
    <w:rsid w:val="00C36725"/>
    <w:rsid w:val="00C369B4"/>
    <w:rsid w:val="00C37D35"/>
    <w:rsid w:val="00C420A0"/>
    <w:rsid w:val="00C435DE"/>
    <w:rsid w:val="00C43D05"/>
    <w:rsid w:val="00C455D8"/>
    <w:rsid w:val="00C45A1F"/>
    <w:rsid w:val="00C45B50"/>
    <w:rsid w:val="00C46885"/>
    <w:rsid w:val="00C47FD7"/>
    <w:rsid w:val="00C50B47"/>
    <w:rsid w:val="00C51530"/>
    <w:rsid w:val="00C51A4E"/>
    <w:rsid w:val="00C542D8"/>
    <w:rsid w:val="00C54ED6"/>
    <w:rsid w:val="00C5657C"/>
    <w:rsid w:val="00C573DD"/>
    <w:rsid w:val="00C576A2"/>
    <w:rsid w:val="00C603C9"/>
    <w:rsid w:val="00C60A8D"/>
    <w:rsid w:val="00C64D2E"/>
    <w:rsid w:val="00C67270"/>
    <w:rsid w:val="00C674F5"/>
    <w:rsid w:val="00C73071"/>
    <w:rsid w:val="00C7321E"/>
    <w:rsid w:val="00C74CFD"/>
    <w:rsid w:val="00C75CF2"/>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310"/>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864"/>
    <w:rsid w:val="00CC2904"/>
    <w:rsid w:val="00CC3182"/>
    <w:rsid w:val="00CC3CE2"/>
    <w:rsid w:val="00CC5F4A"/>
    <w:rsid w:val="00CC6911"/>
    <w:rsid w:val="00CD2746"/>
    <w:rsid w:val="00CD36B7"/>
    <w:rsid w:val="00CD51C1"/>
    <w:rsid w:val="00CD7CD0"/>
    <w:rsid w:val="00CE0CC1"/>
    <w:rsid w:val="00CE13EC"/>
    <w:rsid w:val="00CE1882"/>
    <w:rsid w:val="00CE19EB"/>
    <w:rsid w:val="00CE2BCF"/>
    <w:rsid w:val="00CE2E56"/>
    <w:rsid w:val="00CE5845"/>
    <w:rsid w:val="00CE735B"/>
    <w:rsid w:val="00CF0459"/>
    <w:rsid w:val="00CF26E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6204"/>
    <w:rsid w:val="00D174AD"/>
    <w:rsid w:val="00D20B56"/>
    <w:rsid w:val="00D2595D"/>
    <w:rsid w:val="00D25982"/>
    <w:rsid w:val="00D26B24"/>
    <w:rsid w:val="00D301E2"/>
    <w:rsid w:val="00D313AD"/>
    <w:rsid w:val="00D3162D"/>
    <w:rsid w:val="00D31816"/>
    <w:rsid w:val="00D33CEC"/>
    <w:rsid w:val="00D3589E"/>
    <w:rsid w:val="00D3630E"/>
    <w:rsid w:val="00D368CC"/>
    <w:rsid w:val="00D36E6B"/>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7C"/>
    <w:rsid w:val="00D712B0"/>
    <w:rsid w:val="00D715B8"/>
    <w:rsid w:val="00D72CE8"/>
    <w:rsid w:val="00D7661C"/>
    <w:rsid w:val="00D77918"/>
    <w:rsid w:val="00D80838"/>
    <w:rsid w:val="00D814E1"/>
    <w:rsid w:val="00D822E6"/>
    <w:rsid w:val="00D83359"/>
    <w:rsid w:val="00D85095"/>
    <w:rsid w:val="00D86D4B"/>
    <w:rsid w:val="00D901BB"/>
    <w:rsid w:val="00D91251"/>
    <w:rsid w:val="00D92827"/>
    <w:rsid w:val="00D92857"/>
    <w:rsid w:val="00D92F57"/>
    <w:rsid w:val="00D931C6"/>
    <w:rsid w:val="00D93210"/>
    <w:rsid w:val="00D93731"/>
    <w:rsid w:val="00D94A94"/>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FED"/>
    <w:rsid w:val="00E01500"/>
    <w:rsid w:val="00E03A28"/>
    <w:rsid w:val="00E05C2E"/>
    <w:rsid w:val="00E06EC3"/>
    <w:rsid w:val="00E10A8D"/>
    <w:rsid w:val="00E114CC"/>
    <w:rsid w:val="00E11724"/>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855C9"/>
    <w:rsid w:val="00E87C5D"/>
    <w:rsid w:val="00E931F2"/>
    <w:rsid w:val="00E97775"/>
    <w:rsid w:val="00EA0E96"/>
    <w:rsid w:val="00EA108D"/>
    <w:rsid w:val="00EA3C2D"/>
    <w:rsid w:val="00EA60BD"/>
    <w:rsid w:val="00EB31AF"/>
    <w:rsid w:val="00EB5DC6"/>
    <w:rsid w:val="00EB6681"/>
    <w:rsid w:val="00EB67E1"/>
    <w:rsid w:val="00EB6EAC"/>
    <w:rsid w:val="00EC03C5"/>
    <w:rsid w:val="00EC0404"/>
    <w:rsid w:val="00EC17EE"/>
    <w:rsid w:val="00ED0ED3"/>
    <w:rsid w:val="00ED2794"/>
    <w:rsid w:val="00ED30CD"/>
    <w:rsid w:val="00ED4947"/>
    <w:rsid w:val="00ED4F2A"/>
    <w:rsid w:val="00ED596F"/>
    <w:rsid w:val="00ED5A76"/>
    <w:rsid w:val="00ED63FC"/>
    <w:rsid w:val="00ED76D1"/>
    <w:rsid w:val="00ED7D60"/>
    <w:rsid w:val="00EE4719"/>
    <w:rsid w:val="00EE525D"/>
    <w:rsid w:val="00EE585A"/>
    <w:rsid w:val="00EE7733"/>
    <w:rsid w:val="00EF064E"/>
    <w:rsid w:val="00EF12DC"/>
    <w:rsid w:val="00EF32D6"/>
    <w:rsid w:val="00EF3874"/>
    <w:rsid w:val="00EF38E4"/>
    <w:rsid w:val="00EF415C"/>
    <w:rsid w:val="00EF5B35"/>
    <w:rsid w:val="00F022F5"/>
    <w:rsid w:val="00F057B5"/>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48C7"/>
    <w:rsid w:val="00F45AF7"/>
    <w:rsid w:val="00F4782B"/>
    <w:rsid w:val="00F47C1F"/>
    <w:rsid w:val="00F5064F"/>
    <w:rsid w:val="00F50EAB"/>
    <w:rsid w:val="00F51505"/>
    <w:rsid w:val="00F52081"/>
    <w:rsid w:val="00F561AA"/>
    <w:rsid w:val="00F563C0"/>
    <w:rsid w:val="00F563E0"/>
    <w:rsid w:val="00F564A9"/>
    <w:rsid w:val="00F56DBD"/>
    <w:rsid w:val="00F57B56"/>
    <w:rsid w:val="00F6026A"/>
    <w:rsid w:val="00F6194A"/>
    <w:rsid w:val="00F62499"/>
    <w:rsid w:val="00F62D76"/>
    <w:rsid w:val="00F653D9"/>
    <w:rsid w:val="00F659D7"/>
    <w:rsid w:val="00F65D83"/>
    <w:rsid w:val="00F66BF1"/>
    <w:rsid w:val="00F67F3D"/>
    <w:rsid w:val="00F70E29"/>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A0803"/>
    <w:rsid w:val="00FA2C1D"/>
    <w:rsid w:val="00FA2D0E"/>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image" Target="media/image1.emf"/><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6</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17</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16</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3</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2</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5</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18</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23</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7</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8</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10</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11</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14</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13</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12</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15</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9</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26</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24</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25</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27</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App98</b:Tag>
    <b:SourceType>Report</b:SourceType>
    <b:Guid>{50D2F3A1-1084-4161-9F14-807960FD7521}</b:Guid>
    <b:Author>
      <b:Author>
        <b:NameList>
          <b:Person>
            <b:Last>Apparao</b:Last>
            <b:First>Vidur</b:First>
          </b:Person>
          <b:Person>
            <b:Last>Byrne</b:Last>
            <b:First>Steven</b:First>
          </b:Person>
          <b:Person>
            <b:Last>Champion</b:Last>
            <b:First>Mike</b:First>
          </b:Person>
          <b:Person>
            <b:Last>Isaacs</b:Last>
            <b:First>Scott</b:First>
          </b:Person>
          <b:Person>
            <b:Last>Jacobs</b:Last>
            <b:First>Ian</b:First>
          </b:Person>
          <b:Person>
            <b:Last>Le Hors</b:Last>
            <b:First>Arnaud</b:First>
          </b:Person>
          <b:Person>
            <b:Last>Nicol</b:Last>
            <b:First>Gavin</b:First>
            <b:Middle>Thomas</b:Middle>
          </b:Person>
          <b:Person>
            <b:Last>Robie</b:Last>
            <b:First>Jonathan</b:First>
          </b:Person>
          <b:Person>
            <b:Last>Sutor</b:Last>
            <b:First>Robert</b:First>
          </b:Person>
          <b:Person>
            <b:Last>Wilson</b:Last>
            <b:First>Chris</b:First>
          </b:Person>
          <b:Person>
            <b:Last>Wood</b:Last>
            <b:First>Lauren</b:First>
          </b:Person>
        </b:NameList>
      </b:Author>
    </b:Author>
    <b:Title>Document Object Model (DOM) Level 1 Specification</b:Title>
    <b:Year>1998</b:Year>
    <b:Publisher>W3C</b:Publisher>
    <b:RefOrder>29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5632AA-9E85-4E40-8D34-12B6069E4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Pages>
  <Words>12834</Words>
  <Characters>73156</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85819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140</cp:revision>
  <cp:lastPrinted>2010-05-13T14:30:00Z</cp:lastPrinted>
  <dcterms:created xsi:type="dcterms:W3CDTF">2010-08-18T14:38:00Z</dcterms:created>
  <dcterms:modified xsi:type="dcterms:W3CDTF">2010-08-24T17:59:00Z</dcterms:modified>
</cp:coreProperties>
</file>