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9000AA">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sidR="009000AA">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 xml:space="preserve">I would like to thank my project supervisor, Dr Mark Hepple, for his invaluable advice and guidance in implementation of the TERNIP tool,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9000A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847830" w:history="1">
        <w:r w:rsidR="009000AA" w:rsidRPr="00E30314">
          <w:rPr>
            <w:rStyle w:val="Hyperlink"/>
            <w:noProof/>
            <w:lang w:eastAsia="zh-TW"/>
          </w:rPr>
          <w:t>1</w:t>
        </w:r>
        <w:r w:rsidR="009000AA">
          <w:rPr>
            <w:noProof/>
            <w:sz w:val="22"/>
            <w:szCs w:val="22"/>
            <w:lang w:eastAsia="en-GB" w:bidi="ar-SA"/>
          </w:rPr>
          <w:tab/>
        </w:r>
        <w:r w:rsidR="009000AA" w:rsidRPr="00E30314">
          <w:rPr>
            <w:rStyle w:val="Hyperlink"/>
            <w:noProof/>
            <w:lang w:eastAsia="zh-TW"/>
          </w:rPr>
          <w:t>Introduction</w:t>
        </w:r>
        <w:r w:rsidR="009000AA">
          <w:rPr>
            <w:noProof/>
            <w:webHidden/>
          </w:rPr>
          <w:tab/>
        </w:r>
        <w:r w:rsidR="009000AA">
          <w:rPr>
            <w:noProof/>
            <w:webHidden/>
          </w:rPr>
          <w:fldChar w:fldCharType="begin"/>
        </w:r>
        <w:r w:rsidR="009000AA">
          <w:rPr>
            <w:noProof/>
            <w:webHidden/>
          </w:rPr>
          <w:instrText xml:space="preserve"> PAGEREF _Toc270847830 \h </w:instrText>
        </w:r>
        <w:r w:rsidR="009000AA">
          <w:rPr>
            <w:noProof/>
            <w:webHidden/>
          </w:rPr>
        </w:r>
        <w:r w:rsidR="009000AA">
          <w:rPr>
            <w:noProof/>
            <w:webHidden/>
          </w:rPr>
          <w:fldChar w:fldCharType="separate"/>
        </w:r>
        <w:r w:rsidR="009000AA">
          <w:rPr>
            <w:noProof/>
            <w:webHidden/>
          </w:rPr>
          <w:t>1</w:t>
        </w:r>
        <w:r w:rsidR="009000AA">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31" w:history="1">
        <w:r w:rsidRPr="00E30314">
          <w:rPr>
            <w:rStyle w:val="Hyperlink"/>
            <w:noProof/>
            <w:lang w:eastAsia="zh-TW"/>
          </w:rPr>
          <w:t>2</w:t>
        </w:r>
        <w:r>
          <w:rPr>
            <w:noProof/>
            <w:sz w:val="22"/>
            <w:szCs w:val="22"/>
            <w:lang w:eastAsia="en-GB" w:bidi="ar-SA"/>
          </w:rPr>
          <w:tab/>
        </w:r>
        <w:r w:rsidRPr="00E30314">
          <w:rPr>
            <w:rStyle w:val="Hyperlink"/>
            <w:noProof/>
            <w:lang w:eastAsia="zh-TW"/>
          </w:rPr>
          <w:t>Background</w:t>
        </w:r>
        <w:r>
          <w:rPr>
            <w:noProof/>
            <w:webHidden/>
          </w:rPr>
          <w:tab/>
        </w:r>
        <w:r>
          <w:rPr>
            <w:noProof/>
            <w:webHidden/>
          </w:rPr>
          <w:fldChar w:fldCharType="begin"/>
        </w:r>
        <w:r>
          <w:rPr>
            <w:noProof/>
            <w:webHidden/>
          </w:rPr>
          <w:instrText xml:space="preserve"> PAGEREF _Toc270847831 \h </w:instrText>
        </w:r>
        <w:r>
          <w:rPr>
            <w:noProof/>
            <w:webHidden/>
          </w:rPr>
        </w:r>
        <w:r>
          <w:rPr>
            <w:noProof/>
            <w:webHidden/>
          </w:rPr>
          <w:fldChar w:fldCharType="separate"/>
        </w:r>
        <w:r>
          <w:rPr>
            <w:noProof/>
            <w:webHidden/>
          </w:rPr>
          <w:t>2</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2" w:history="1">
        <w:r w:rsidRPr="00E30314">
          <w:rPr>
            <w:rStyle w:val="Hyperlink"/>
            <w:noProof/>
            <w:lang w:eastAsia="zh-TW"/>
          </w:rPr>
          <w:t>2.1</w:t>
        </w:r>
        <w:r>
          <w:rPr>
            <w:noProof/>
            <w:sz w:val="22"/>
            <w:szCs w:val="22"/>
            <w:lang w:eastAsia="en-GB" w:bidi="ar-SA"/>
          </w:rPr>
          <w:tab/>
        </w:r>
        <w:r w:rsidRPr="00E30314">
          <w:rPr>
            <w:rStyle w:val="Hyperlink"/>
            <w:noProof/>
            <w:lang w:eastAsia="zh-TW"/>
          </w:rPr>
          <w:t>Temporal Expressions</w:t>
        </w:r>
        <w:r>
          <w:rPr>
            <w:noProof/>
            <w:webHidden/>
          </w:rPr>
          <w:tab/>
        </w:r>
        <w:r>
          <w:rPr>
            <w:noProof/>
            <w:webHidden/>
          </w:rPr>
          <w:fldChar w:fldCharType="begin"/>
        </w:r>
        <w:r>
          <w:rPr>
            <w:noProof/>
            <w:webHidden/>
          </w:rPr>
          <w:instrText xml:space="preserve"> PAGEREF _Toc270847832 \h </w:instrText>
        </w:r>
        <w:r>
          <w:rPr>
            <w:noProof/>
            <w:webHidden/>
          </w:rPr>
        </w:r>
        <w:r>
          <w:rPr>
            <w:noProof/>
            <w:webHidden/>
          </w:rPr>
          <w:fldChar w:fldCharType="separate"/>
        </w:r>
        <w:r>
          <w:rPr>
            <w:noProof/>
            <w:webHidden/>
          </w:rPr>
          <w:t>2</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3" w:history="1">
        <w:r w:rsidRPr="00E30314">
          <w:rPr>
            <w:rStyle w:val="Hyperlink"/>
            <w:noProof/>
            <w:lang w:eastAsia="zh-TW"/>
          </w:rPr>
          <w:t>2.2</w:t>
        </w:r>
        <w:r>
          <w:rPr>
            <w:noProof/>
            <w:sz w:val="22"/>
            <w:szCs w:val="22"/>
            <w:lang w:eastAsia="en-GB" w:bidi="ar-SA"/>
          </w:rPr>
          <w:tab/>
        </w:r>
        <w:r w:rsidRPr="00E30314">
          <w:rPr>
            <w:rStyle w:val="Hyperlink"/>
            <w:noProof/>
            <w:lang w:eastAsia="zh-TW"/>
          </w:rPr>
          <w:t>Annotation Standards</w:t>
        </w:r>
        <w:r>
          <w:rPr>
            <w:noProof/>
            <w:webHidden/>
          </w:rPr>
          <w:tab/>
        </w:r>
        <w:r>
          <w:rPr>
            <w:noProof/>
            <w:webHidden/>
          </w:rPr>
          <w:fldChar w:fldCharType="begin"/>
        </w:r>
        <w:r>
          <w:rPr>
            <w:noProof/>
            <w:webHidden/>
          </w:rPr>
          <w:instrText xml:space="preserve"> PAGEREF _Toc270847833 \h </w:instrText>
        </w:r>
        <w:r>
          <w:rPr>
            <w:noProof/>
            <w:webHidden/>
          </w:rPr>
        </w:r>
        <w:r>
          <w:rPr>
            <w:noProof/>
            <w:webHidden/>
          </w:rPr>
          <w:fldChar w:fldCharType="separate"/>
        </w:r>
        <w:r>
          <w:rPr>
            <w:noProof/>
            <w:webHidden/>
          </w:rPr>
          <w:t>3</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4" w:history="1">
        <w:r w:rsidRPr="00E30314">
          <w:rPr>
            <w:rStyle w:val="Hyperlink"/>
            <w:noProof/>
          </w:rPr>
          <w:t>2.3</w:t>
        </w:r>
        <w:r>
          <w:rPr>
            <w:noProof/>
            <w:sz w:val="22"/>
            <w:szCs w:val="22"/>
            <w:lang w:eastAsia="en-GB" w:bidi="ar-SA"/>
          </w:rPr>
          <w:tab/>
        </w:r>
        <w:r w:rsidRPr="00E30314">
          <w:rPr>
            <w:rStyle w:val="Hyperlink"/>
            <w:noProof/>
          </w:rPr>
          <w:t>Evaluating Tagger Performance</w:t>
        </w:r>
        <w:r>
          <w:rPr>
            <w:noProof/>
            <w:webHidden/>
          </w:rPr>
          <w:tab/>
        </w:r>
        <w:r>
          <w:rPr>
            <w:noProof/>
            <w:webHidden/>
          </w:rPr>
          <w:fldChar w:fldCharType="begin"/>
        </w:r>
        <w:r>
          <w:rPr>
            <w:noProof/>
            <w:webHidden/>
          </w:rPr>
          <w:instrText xml:space="preserve"> PAGEREF _Toc270847834 \h </w:instrText>
        </w:r>
        <w:r>
          <w:rPr>
            <w:noProof/>
            <w:webHidden/>
          </w:rPr>
        </w:r>
        <w:r>
          <w:rPr>
            <w:noProof/>
            <w:webHidden/>
          </w:rPr>
          <w:fldChar w:fldCharType="separate"/>
        </w:r>
        <w:r>
          <w:rPr>
            <w:noProof/>
            <w:webHidden/>
          </w:rPr>
          <w:t>6</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5" w:history="1">
        <w:r w:rsidRPr="00E30314">
          <w:rPr>
            <w:rStyle w:val="Hyperlink"/>
            <w:noProof/>
            <w:lang w:eastAsia="zh-TW"/>
          </w:rPr>
          <w:t>2.4</w:t>
        </w:r>
        <w:r>
          <w:rPr>
            <w:noProof/>
            <w:sz w:val="22"/>
            <w:szCs w:val="22"/>
            <w:lang w:eastAsia="en-GB" w:bidi="ar-SA"/>
          </w:rPr>
          <w:tab/>
        </w:r>
        <w:r w:rsidRPr="00E30314">
          <w:rPr>
            <w:rStyle w:val="Hyperlink"/>
            <w:noProof/>
            <w:lang w:eastAsia="zh-TW"/>
          </w:rPr>
          <w:t>Corpora</w:t>
        </w:r>
        <w:r>
          <w:rPr>
            <w:noProof/>
            <w:webHidden/>
          </w:rPr>
          <w:tab/>
        </w:r>
        <w:r>
          <w:rPr>
            <w:noProof/>
            <w:webHidden/>
          </w:rPr>
          <w:fldChar w:fldCharType="begin"/>
        </w:r>
        <w:r>
          <w:rPr>
            <w:noProof/>
            <w:webHidden/>
          </w:rPr>
          <w:instrText xml:space="preserve"> PAGEREF _Toc270847835 \h </w:instrText>
        </w:r>
        <w:r>
          <w:rPr>
            <w:noProof/>
            <w:webHidden/>
          </w:rPr>
        </w:r>
        <w:r>
          <w:rPr>
            <w:noProof/>
            <w:webHidden/>
          </w:rPr>
          <w:fldChar w:fldCharType="separate"/>
        </w:r>
        <w:r>
          <w:rPr>
            <w:noProof/>
            <w:webHidden/>
          </w:rPr>
          <w:t>6</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6" w:history="1">
        <w:r w:rsidRPr="00E30314">
          <w:rPr>
            <w:rStyle w:val="Hyperlink"/>
            <w:noProof/>
          </w:rPr>
          <w:t>2.5</w:t>
        </w:r>
        <w:r>
          <w:rPr>
            <w:noProof/>
            <w:sz w:val="22"/>
            <w:szCs w:val="22"/>
            <w:lang w:eastAsia="en-GB" w:bidi="ar-SA"/>
          </w:rPr>
          <w:tab/>
        </w:r>
        <w:r w:rsidRPr="00E30314">
          <w:rPr>
            <w:rStyle w:val="Hyperlink"/>
            <w:noProof/>
          </w:rPr>
          <w:t>Temporal Expression Taggers</w:t>
        </w:r>
        <w:r>
          <w:rPr>
            <w:noProof/>
            <w:webHidden/>
          </w:rPr>
          <w:tab/>
        </w:r>
        <w:r>
          <w:rPr>
            <w:noProof/>
            <w:webHidden/>
          </w:rPr>
          <w:fldChar w:fldCharType="begin"/>
        </w:r>
        <w:r>
          <w:rPr>
            <w:noProof/>
            <w:webHidden/>
          </w:rPr>
          <w:instrText xml:space="preserve"> PAGEREF _Toc270847836 \h </w:instrText>
        </w:r>
        <w:r>
          <w:rPr>
            <w:noProof/>
            <w:webHidden/>
          </w:rPr>
        </w:r>
        <w:r>
          <w:rPr>
            <w:noProof/>
            <w:webHidden/>
          </w:rPr>
          <w:fldChar w:fldCharType="separate"/>
        </w:r>
        <w:r>
          <w:rPr>
            <w:noProof/>
            <w:webHidden/>
          </w:rPr>
          <w:t>7</w:t>
        </w:r>
        <w:r>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37" w:history="1">
        <w:r w:rsidRPr="00E30314">
          <w:rPr>
            <w:rStyle w:val="Hyperlink"/>
            <w:noProof/>
          </w:rPr>
          <w:t>3</w:t>
        </w:r>
        <w:r>
          <w:rPr>
            <w:noProof/>
            <w:sz w:val="22"/>
            <w:szCs w:val="22"/>
            <w:lang w:eastAsia="en-GB" w:bidi="ar-SA"/>
          </w:rPr>
          <w:tab/>
        </w:r>
        <w:r w:rsidRPr="00E30314">
          <w:rPr>
            <w:rStyle w:val="Hyperlink"/>
            <w:noProof/>
          </w:rPr>
          <w:t>Problem Analysis</w:t>
        </w:r>
        <w:r>
          <w:rPr>
            <w:noProof/>
            <w:webHidden/>
          </w:rPr>
          <w:tab/>
        </w:r>
        <w:r>
          <w:rPr>
            <w:noProof/>
            <w:webHidden/>
          </w:rPr>
          <w:fldChar w:fldCharType="begin"/>
        </w:r>
        <w:r>
          <w:rPr>
            <w:noProof/>
            <w:webHidden/>
          </w:rPr>
          <w:instrText xml:space="preserve"> PAGEREF _Toc270847837 \h </w:instrText>
        </w:r>
        <w:r>
          <w:rPr>
            <w:noProof/>
            <w:webHidden/>
          </w:rPr>
        </w:r>
        <w:r>
          <w:rPr>
            <w:noProof/>
            <w:webHidden/>
          </w:rPr>
          <w:fldChar w:fldCharType="separate"/>
        </w:r>
        <w:r>
          <w:rPr>
            <w:noProof/>
            <w:webHidden/>
          </w:rPr>
          <w:t>13</w:t>
        </w:r>
        <w:r>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38" w:history="1">
        <w:r w:rsidRPr="00E30314">
          <w:rPr>
            <w:rStyle w:val="Hyperlink"/>
            <w:noProof/>
          </w:rPr>
          <w:t>4</w:t>
        </w:r>
        <w:r>
          <w:rPr>
            <w:noProof/>
            <w:sz w:val="22"/>
            <w:szCs w:val="22"/>
            <w:lang w:eastAsia="en-GB" w:bidi="ar-SA"/>
          </w:rPr>
          <w:tab/>
        </w:r>
        <w:r w:rsidRPr="00E30314">
          <w:rPr>
            <w:rStyle w:val="Hyperlink"/>
            <w:noProof/>
          </w:rPr>
          <w:t>System</w:t>
        </w:r>
        <w:r>
          <w:rPr>
            <w:noProof/>
            <w:webHidden/>
          </w:rPr>
          <w:tab/>
        </w:r>
        <w:r>
          <w:rPr>
            <w:noProof/>
            <w:webHidden/>
          </w:rPr>
          <w:fldChar w:fldCharType="begin"/>
        </w:r>
        <w:r>
          <w:rPr>
            <w:noProof/>
            <w:webHidden/>
          </w:rPr>
          <w:instrText xml:space="preserve"> PAGEREF _Toc270847838 \h </w:instrText>
        </w:r>
        <w:r>
          <w:rPr>
            <w:noProof/>
            <w:webHidden/>
          </w:rPr>
        </w:r>
        <w:r>
          <w:rPr>
            <w:noProof/>
            <w:webHidden/>
          </w:rPr>
          <w:fldChar w:fldCharType="separate"/>
        </w:r>
        <w:r>
          <w:rPr>
            <w:noProof/>
            <w:webHidden/>
          </w:rPr>
          <w:t>15</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39" w:history="1">
        <w:r w:rsidRPr="00E30314">
          <w:rPr>
            <w:rStyle w:val="Hyperlink"/>
            <w:noProof/>
          </w:rPr>
          <w:t>4.1</w:t>
        </w:r>
        <w:r>
          <w:rPr>
            <w:noProof/>
            <w:sz w:val="22"/>
            <w:szCs w:val="22"/>
            <w:lang w:eastAsia="en-GB" w:bidi="ar-SA"/>
          </w:rPr>
          <w:tab/>
        </w:r>
        <w:r w:rsidRPr="00E30314">
          <w:rPr>
            <w:rStyle w:val="Hyperlink"/>
            <w:noProof/>
          </w:rPr>
          <w:t>Architecture</w:t>
        </w:r>
        <w:r>
          <w:rPr>
            <w:noProof/>
            <w:webHidden/>
          </w:rPr>
          <w:tab/>
        </w:r>
        <w:r>
          <w:rPr>
            <w:noProof/>
            <w:webHidden/>
          </w:rPr>
          <w:fldChar w:fldCharType="begin"/>
        </w:r>
        <w:r>
          <w:rPr>
            <w:noProof/>
            <w:webHidden/>
          </w:rPr>
          <w:instrText xml:space="preserve"> PAGEREF _Toc270847839 \h </w:instrText>
        </w:r>
        <w:r>
          <w:rPr>
            <w:noProof/>
            <w:webHidden/>
          </w:rPr>
        </w:r>
        <w:r>
          <w:rPr>
            <w:noProof/>
            <w:webHidden/>
          </w:rPr>
          <w:fldChar w:fldCharType="separate"/>
        </w:r>
        <w:r>
          <w:rPr>
            <w:noProof/>
            <w:webHidden/>
          </w:rPr>
          <w:t>15</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0" w:history="1">
        <w:r w:rsidRPr="00E30314">
          <w:rPr>
            <w:rStyle w:val="Hyperlink"/>
            <w:noProof/>
          </w:rPr>
          <w:t>4.2</w:t>
        </w:r>
        <w:r>
          <w:rPr>
            <w:noProof/>
            <w:sz w:val="22"/>
            <w:szCs w:val="22"/>
            <w:lang w:eastAsia="en-GB" w:bidi="ar-SA"/>
          </w:rPr>
          <w:tab/>
        </w:r>
        <w:r w:rsidRPr="00E30314">
          <w:rPr>
            <w:rStyle w:val="Hyperlink"/>
            <w:noProof/>
          </w:rPr>
          <w:t>Implementation Methodology</w:t>
        </w:r>
        <w:r>
          <w:rPr>
            <w:noProof/>
            <w:webHidden/>
          </w:rPr>
          <w:tab/>
        </w:r>
        <w:r>
          <w:rPr>
            <w:noProof/>
            <w:webHidden/>
          </w:rPr>
          <w:fldChar w:fldCharType="begin"/>
        </w:r>
        <w:r>
          <w:rPr>
            <w:noProof/>
            <w:webHidden/>
          </w:rPr>
          <w:instrText xml:space="preserve"> PAGEREF _Toc270847840 \h </w:instrText>
        </w:r>
        <w:r>
          <w:rPr>
            <w:noProof/>
            <w:webHidden/>
          </w:rPr>
        </w:r>
        <w:r>
          <w:rPr>
            <w:noProof/>
            <w:webHidden/>
          </w:rPr>
          <w:fldChar w:fldCharType="separate"/>
        </w:r>
        <w:r>
          <w:rPr>
            <w:noProof/>
            <w:webHidden/>
          </w:rPr>
          <w:t>17</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1" w:history="1">
        <w:r w:rsidRPr="00E30314">
          <w:rPr>
            <w:rStyle w:val="Hyperlink"/>
            <w:noProof/>
          </w:rPr>
          <w:t>4.3</w:t>
        </w:r>
        <w:r>
          <w:rPr>
            <w:noProof/>
            <w:sz w:val="22"/>
            <w:szCs w:val="22"/>
            <w:lang w:eastAsia="en-GB" w:bidi="ar-SA"/>
          </w:rPr>
          <w:tab/>
        </w:r>
        <w:r w:rsidRPr="00E30314">
          <w:rPr>
            <w:rStyle w:val="Hyperlink"/>
            <w:noProof/>
          </w:rPr>
          <w:t>Abstract Representation Of Timexes</w:t>
        </w:r>
        <w:r>
          <w:rPr>
            <w:noProof/>
            <w:webHidden/>
          </w:rPr>
          <w:tab/>
        </w:r>
        <w:r>
          <w:rPr>
            <w:noProof/>
            <w:webHidden/>
          </w:rPr>
          <w:fldChar w:fldCharType="begin"/>
        </w:r>
        <w:r>
          <w:rPr>
            <w:noProof/>
            <w:webHidden/>
          </w:rPr>
          <w:instrText xml:space="preserve"> PAGEREF _Toc270847841 \h </w:instrText>
        </w:r>
        <w:r>
          <w:rPr>
            <w:noProof/>
            <w:webHidden/>
          </w:rPr>
        </w:r>
        <w:r>
          <w:rPr>
            <w:noProof/>
            <w:webHidden/>
          </w:rPr>
          <w:fldChar w:fldCharType="separate"/>
        </w:r>
        <w:r>
          <w:rPr>
            <w:noProof/>
            <w:webHidden/>
          </w:rPr>
          <w:t>17</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2" w:history="1">
        <w:r w:rsidRPr="00E30314">
          <w:rPr>
            <w:rStyle w:val="Hyperlink"/>
            <w:noProof/>
          </w:rPr>
          <w:t>4.4</w:t>
        </w:r>
        <w:r>
          <w:rPr>
            <w:noProof/>
            <w:sz w:val="22"/>
            <w:szCs w:val="22"/>
            <w:lang w:eastAsia="en-GB" w:bidi="ar-SA"/>
          </w:rPr>
          <w:tab/>
        </w:r>
        <w:r w:rsidRPr="00E30314">
          <w:rPr>
            <w:rStyle w:val="Hyperlink"/>
            <w:noProof/>
          </w:rPr>
          <w:t>Abstract Representation Of Documents</w:t>
        </w:r>
        <w:r>
          <w:rPr>
            <w:noProof/>
            <w:webHidden/>
          </w:rPr>
          <w:tab/>
        </w:r>
        <w:r>
          <w:rPr>
            <w:noProof/>
            <w:webHidden/>
          </w:rPr>
          <w:fldChar w:fldCharType="begin"/>
        </w:r>
        <w:r>
          <w:rPr>
            <w:noProof/>
            <w:webHidden/>
          </w:rPr>
          <w:instrText xml:space="preserve"> PAGEREF _Toc270847842 \h </w:instrText>
        </w:r>
        <w:r>
          <w:rPr>
            <w:noProof/>
            <w:webHidden/>
          </w:rPr>
        </w:r>
        <w:r>
          <w:rPr>
            <w:noProof/>
            <w:webHidden/>
          </w:rPr>
          <w:fldChar w:fldCharType="separate"/>
        </w:r>
        <w:r>
          <w:rPr>
            <w:noProof/>
            <w:webHidden/>
          </w:rPr>
          <w:t>18</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3" w:history="1">
        <w:r w:rsidRPr="00E30314">
          <w:rPr>
            <w:rStyle w:val="Hyperlink"/>
            <w:noProof/>
          </w:rPr>
          <w:t>4.5</w:t>
        </w:r>
        <w:r>
          <w:rPr>
            <w:noProof/>
            <w:sz w:val="22"/>
            <w:szCs w:val="22"/>
            <w:lang w:eastAsia="en-GB" w:bidi="ar-SA"/>
          </w:rPr>
          <w:tab/>
        </w:r>
        <w:r w:rsidRPr="00E30314">
          <w:rPr>
            <w:rStyle w:val="Hyperlink"/>
            <w:noProof/>
          </w:rPr>
          <w:t>Rule Engine</w:t>
        </w:r>
        <w:r>
          <w:rPr>
            <w:noProof/>
            <w:webHidden/>
          </w:rPr>
          <w:tab/>
        </w:r>
        <w:r>
          <w:rPr>
            <w:noProof/>
            <w:webHidden/>
          </w:rPr>
          <w:fldChar w:fldCharType="begin"/>
        </w:r>
        <w:r>
          <w:rPr>
            <w:noProof/>
            <w:webHidden/>
          </w:rPr>
          <w:instrText xml:space="preserve"> PAGEREF _Toc270847843 \h </w:instrText>
        </w:r>
        <w:r>
          <w:rPr>
            <w:noProof/>
            <w:webHidden/>
          </w:rPr>
        </w:r>
        <w:r>
          <w:rPr>
            <w:noProof/>
            <w:webHidden/>
          </w:rPr>
          <w:fldChar w:fldCharType="separate"/>
        </w:r>
        <w:r>
          <w:rPr>
            <w:noProof/>
            <w:webHidden/>
          </w:rPr>
          <w:t>19</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4" w:history="1">
        <w:r w:rsidRPr="00E30314">
          <w:rPr>
            <w:rStyle w:val="Hyperlink"/>
            <w:noProof/>
          </w:rPr>
          <w:t>4.6</w:t>
        </w:r>
        <w:r>
          <w:rPr>
            <w:noProof/>
            <w:sz w:val="22"/>
            <w:szCs w:val="22"/>
            <w:lang w:eastAsia="en-GB" w:bidi="ar-SA"/>
          </w:rPr>
          <w:tab/>
        </w:r>
        <w:r w:rsidRPr="00E30314">
          <w:rPr>
            <w:rStyle w:val="Hyperlink"/>
            <w:noProof/>
          </w:rPr>
          <w:t>Recognition Rules</w:t>
        </w:r>
        <w:r>
          <w:rPr>
            <w:noProof/>
            <w:webHidden/>
          </w:rPr>
          <w:tab/>
        </w:r>
        <w:r>
          <w:rPr>
            <w:noProof/>
            <w:webHidden/>
          </w:rPr>
          <w:fldChar w:fldCharType="begin"/>
        </w:r>
        <w:r>
          <w:rPr>
            <w:noProof/>
            <w:webHidden/>
          </w:rPr>
          <w:instrText xml:space="preserve"> PAGEREF _Toc270847844 \h </w:instrText>
        </w:r>
        <w:r>
          <w:rPr>
            <w:noProof/>
            <w:webHidden/>
          </w:rPr>
        </w:r>
        <w:r>
          <w:rPr>
            <w:noProof/>
            <w:webHidden/>
          </w:rPr>
          <w:fldChar w:fldCharType="separate"/>
        </w:r>
        <w:r>
          <w:rPr>
            <w:noProof/>
            <w:webHidden/>
          </w:rPr>
          <w:t>31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5" w:history="1">
        <w:r w:rsidRPr="00E30314">
          <w:rPr>
            <w:rStyle w:val="Hyperlink"/>
            <w:noProof/>
          </w:rPr>
          <w:t>4.7</w:t>
        </w:r>
        <w:r>
          <w:rPr>
            <w:noProof/>
            <w:sz w:val="22"/>
            <w:szCs w:val="22"/>
            <w:lang w:eastAsia="en-GB" w:bidi="ar-SA"/>
          </w:rPr>
          <w:tab/>
        </w:r>
        <w:r w:rsidRPr="00E30314">
          <w:rPr>
            <w:rStyle w:val="Hyperlink"/>
            <w:noProof/>
          </w:rPr>
          <w:t>Normalisation Rules</w:t>
        </w:r>
        <w:r>
          <w:rPr>
            <w:noProof/>
            <w:webHidden/>
          </w:rPr>
          <w:tab/>
        </w:r>
        <w:r>
          <w:rPr>
            <w:noProof/>
            <w:webHidden/>
          </w:rPr>
          <w:fldChar w:fldCharType="begin"/>
        </w:r>
        <w:r>
          <w:rPr>
            <w:noProof/>
            <w:webHidden/>
          </w:rPr>
          <w:instrText xml:space="preserve"> PAGEREF _Toc270847845 \h </w:instrText>
        </w:r>
        <w:r>
          <w:rPr>
            <w:noProof/>
            <w:webHidden/>
          </w:rPr>
        </w:r>
        <w:r>
          <w:rPr>
            <w:noProof/>
            <w:webHidden/>
          </w:rPr>
          <w:fldChar w:fldCharType="separate"/>
        </w:r>
        <w:r>
          <w:rPr>
            <w:noProof/>
            <w:webHidden/>
          </w:rPr>
          <w:t>32</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6" w:history="1">
        <w:r w:rsidRPr="00E30314">
          <w:rPr>
            <w:rStyle w:val="Hyperlink"/>
            <w:noProof/>
          </w:rPr>
          <w:t>4.8</w:t>
        </w:r>
        <w:r>
          <w:rPr>
            <w:noProof/>
            <w:sz w:val="22"/>
            <w:szCs w:val="22"/>
            <w:lang w:eastAsia="en-GB" w:bidi="ar-SA"/>
          </w:rPr>
          <w:tab/>
        </w:r>
        <w:r w:rsidRPr="00E30314">
          <w:rPr>
            <w:rStyle w:val="Hyperlink"/>
            <w:noProof/>
          </w:rPr>
          <w:t>Document Formats</w:t>
        </w:r>
        <w:r>
          <w:rPr>
            <w:noProof/>
            <w:webHidden/>
          </w:rPr>
          <w:tab/>
        </w:r>
        <w:r>
          <w:rPr>
            <w:noProof/>
            <w:webHidden/>
          </w:rPr>
          <w:fldChar w:fldCharType="begin"/>
        </w:r>
        <w:r>
          <w:rPr>
            <w:noProof/>
            <w:webHidden/>
          </w:rPr>
          <w:instrText xml:space="preserve"> PAGEREF _Toc270847846 \h </w:instrText>
        </w:r>
        <w:r>
          <w:rPr>
            <w:noProof/>
            <w:webHidden/>
          </w:rPr>
        </w:r>
        <w:r>
          <w:rPr>
            <w:noProof/>
            <w:webHidden/>
          </w:rPr>
          <w:fldChar w:fldCharType="separate"/>
        </w:r>
        <w:r>
          <w:rPr>
            <w:noProof/>
            <w:webHidden/>
          </w:rPr>
          <w:t>34</w:t>
        </w:r>
        <w:r>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47" w:history="1">
        <w:r w:rsidRPr="00E30314">
          <w:rPr>
            <w:rStyle w:val="Hyperlink"/>
            <w:noProof/>
          </w:rPr>
          <w:t>5</w:t>
        </w:r>
        <w:r>
          <w:rPr>
            <w:noProof/>
            <w:sz w:val="22"/>
            <w:szCs w:val="22"/>
            <w:lang w:eastAsia="en-GB" w:bidi="ar-SA"/>
          </w:rPr>
          <w:tab/>
        </w:r>
        <w:r w:rsidRPr="00E30314">
          <w:rPr>
            <w:rStyle w:val="Hyperlink"/>
            <w:noProof/>
          </w:rPr>
          <w:t>Evaluation</w:t>
        </w:r>
        <w:r>
          <w:rPr>
            <w:noProof/>
            <w:webHidden/>
          </w:rPr>
          <w:tab/>
        </w:r>
        <w:r>
          <w:rPr>
            <w:noProof/>
            <w:webHidden/>
          </w:rPr>
          <w:fldChar w:fldCharType="begin"/>
        </w:r>
        <w:r>
          <w:rPr>
            <w:noProof/>
            <w:webHidden/>
          </w:rPr>
          <w:instrText xml:space="preserve"> PAGEREF _Toc270847847 \h </w:instrText>
        </w:r>
        <w:r>
          <w:rPr>
            <w:noProof/>
            <w:webHidden/>
          </w:rPr>
        </w:r>
        <w:r>
          <w:rPr>
            <w:noProof/>
            <w:webHidden/>
          </w:rPr>
          <w:fldChar w:fldCharType="separate"/>
        </w:r>
        <w:r>
          <w:rPr>
            <w:noProof/>
            <w:webHidden/>
          </w:rPr>
          <w:t>38</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8" w:history="1">
        <w:r w:rsidRPr="00E30314">
          <w:rPr>
            <w:rStyle w:val="Hyperlink"/>
            <w:noProof/>
          </w:rPr>
          <w:t>5.1</w:t>
        </w:r>
        <w:r>
          <w:rPr>
            <w:noProof/>
            <w:sz w:val="22"/>
            <w:szCs w:val="22"/>
            <w:lang w:eastAsia="en-GB" w:bidi="ar-SA"/>
          </w:rPr>
          <w:tab/>
        </w:r>
        <w:r w:rsidRPr="00E30314">
          <w:rPr>
            <w:rStyle w:val="Hyperlink"/>
            <w:noProof/>
          </w:rPr>
          <w:t>System Performance</w:t>
        </w:r>
        <w:r>
          <w:rPr>
            <w:noProof/>
            <w:webHidden/>
          </w:rPr>
          <w:tab/>
        </w:r>
        <w:r>
          <w:rPr>
            <w:noProof/>
            <w:webHidden/>
          </w:rPr>
          <w:fldChar w:fldCharType="begin"/>
        </w:r>
        <w:r>
          <w:rPr>
            <w:noProof/>
            <w:webHidden/>
          </w:rPr>
          <w:instrText xml:space="preserve"> PAGEREF _Toc270847848 \h </w:instrText>
        </w:r>
        <w:r>
          <w:rPr>
            <w:noProof/>
            <w:webHidden/>
          </w:rPr>
        </w:r>
        <w:r>
          <w:rPr>
            <w:noProof/>
            <w:webHidden/>
          </w:rPr>
          <w:fldChar w:fldCharType="separate"/>
        </w:r>
        <w:r>
          <w:rPr>
            <w:noProof/>
            <w:webHidden/>
          </w:rPr>
          <w:t>38</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49" w:history="1">
        <w:r w:rsidRPr="00E30314">
          <w:rPr>
            <w:rStyle w:val="Hyperlink"/>
            <w:noProof/>
          </w:rPr>
          <w:t>5.2</w:t>
        </w:r>
        <w:r>
          <w:rPr>
            <w:noProof/>
            <w:sz w:val="22"/>
            <w:szCs w:val="22"/>
            <w:lang w:eastAsia="en-GB" w:bidi="ar-SA"/>
          </w:rPr>
          <w:tab/>
        </w:r>
        <w:r w:rsidRPr="00E30314">
          <w:rPr>
            <w:rStyle w:val="Hyperlink"/>
            <w:noProof/>
          </w:rPr>
          <w:t>Speed and Throughput</w:t>
        </w:r>
        <w:r>
          <w:rPr>
            <w:noProof/>
            <w:webHidden/>
          </w:rPr>
          <w:tab/>
        </w:r>
        <w:r>
          <w:rPr>
            <w:noProof/>
            <w:webHidden/>
          </w:rPr>
          <w:fldChar w:fldCharType="begin"/>
        </w:r>
        <w:r>
          <w:rPr>
            <w:noProof/>
            <w:webHidden/>
          </w:rPr>
          <w:instrText xml:space="preserve"> PAGEREF _Toc270847849 \h </w:instrText>
        </w:r>
        <w:r>
          <w:rPr>
            <w:noProof/>
            <w:webHidden/>
          </w:rPr>
        </w:r>
        <w:r>
          <w:rPr>
            <w:noProof/>
            <w:webHidden/>
          </w:rPr>
          <w:fldChar w:fldCharType="separate"/>
        </w:r>
        <w:r>
          <w:rPr>
            <w:noProof/>
            <w:webHidden/>
          </w:rPr>
          <w:t>39</w:t>
        </w:r>
        <w:r>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50" w:history="1">
        <w:r w:rsidRPr="00E30314">
          <w:rPr>
            <w:rStyle w:val="Hyperlink"/>
            <w:noProof/>
          </w:rPr>
          <w:t>6</w:t>
        </w:r>
        <w:r>
          <w:rPr>
            <w:noProof/>
            <w:sz w:val="22"/>
            <w:szCs w:val="22"/>
            <w:lang w:eastAsia="en-GB" w:bidi="ar-SA"/>
          </w:rPr>
          <w:tab/>
        </w:r>
        <w:r w:rsidRPr="00E30314">
          <w:rPr>
            <w:rStyle w:val="Hyperlink"/>
            <w:noProof/>
          </w:rPr>
          <w:t>Discussion</w:t>
        </w:r>
        <w:r>
          <w:rPr>
            <w:noProof/>
            <w:webHidden/>
          </w:rPr>
          <w:tab/>
        </w:r>
        <w:r>
          <w:rPr>
            <w:noProof/>
            <w:webHidden/>
          </w:rPr>
          <w:fldChar w:fldCharType="begin"/>
        </w:r>
        <w:r>
          <w:rPr>
            <w:noProof/>
            <w:webHidden/>
          </w:rPr>
          <w:instrText xml:space="preserve"> PAGEREF _Toc270847850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1" w:history="1">
        <w:r w:rsidRPr="00E30314">
          <w:rPr>
            <w:rStyle w:val="Hyperlink"/>
            <w:noProof/>
          </w:rPr>
          <w:t>6.1</w:t>
        </w:r>
        <w:r>
          <w:rPr>
            <w:noProof/>
            <w:sz w:val="22"/>
            <w:szCs w:val="22"/>
            <w:lang w:eastAsia="en-GB" w:bidi="ar-SA"/>
          </w:rPr>
          <w:tab/>
        </w:r>
        <w:r w:rsidRPr="00E30314">
          <w:rPr>
            <w:rStyle w:val="Hyperlink"/>
            <w:noProof/>
          </w:rPr>
          <w:t>Meeting The Requirements</w:t>
        </w:r>
        <w:r>
          <w:rPr>
            <w:noProof/>
            <w:webHidden/>
          </w:rPr>
          <w:tab/>
        </w:r>
        <w:r>
          <w:rPr>
            <w:noProof/>
            <w:webHidden/>
          </w:rPr>
          <w:fldChar w:fldCharType="begin"/>
        </w:r>
        <w:r>
          <w:rPr>
            <w:noProof/>
            <w:webHidden/>
          </w:rPr>
          <w:instrText xml:space="preserve"> PAGEREF _Toc270847851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2" w:history="1">
        <w:r w:rsidRPr="00E30314">
          <w:rPr>
            <w:rStyle w:val="Hyperlink"/>
            <w:noProof/>
          </w:rPr>
          <w:t>6.2</w:t>
        </w:r>
        <w:r>
          <w:rPr>
            <w:noProof/>
            <w:sz w:val="22"/>
            <w:szCs w:val="22"/>
            <w:lang w:eastAsia="en-GB" w:bidi="ar-SA"/>
          </w:rPr>
          <w:tab/>
        </w:r>
        <w:r w:rsidRPr="00E30314">
          <w:rPr>
            <w:rStyle w:val="Hyperlink"/>
            <w:noProof/>
          </w:rPr>
          <w:t>Implementation Issues</w:t>
        </w:r>
        <w:r>
          <w:rPr>
            <w:noProof/>
            <w:webHidden/>
          </w:rPr>
          <w:tab/>
        </w:r>
        <w:r>
          <w:rPr>
            <w:noProof/>
            <w:webHidden/>
          </w:rPr>
          <w:fldChar w:fldCharType="begin"/>
        </w:r>
        <w:r>
          <w:rPr>
            <w:noProof/>
            <w:webHidden/>
          </w:rPr>
          <w:instrText xml:space="preserve"> PAGEREF _Toc270847852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3" w:history="1">
        <w:r w:rsidRPr="00E30314">
          <w:rPr>
            <w:rStyle w:val="Hyperlink"/>
            <w:noProof/>
          </w:rPr>
          <w:t>6.3</w:t>
        </w:r>
        <w:r>
          <w:rPr>
            <w:noProof/>
            <w:sz w:val="22"/>
            <w:szCs w:val="22"/>
            <w:lang w:eastAsia="en-GB" w:bidi="ar-SA"/>
          </w:rPr>
          <w:tab/>
        </w:r>
        <w:r w:rsidRPr="00E30314">
          <w:rPr>
            <w:rStyle w:val="Hyperlink"/>
            <w:noProof/>
          </w:rPr>
          <w:t>Standard and Corpora Deficiencies</w:t>
        </w:r>
        <w:r>
          <w:rPr>
            <w:noProof/>
            <w:webHidden/>
          </w:rPr>
          <w:tab/>
        </w:r>
        <w:r>
          <w:rPr>
            <w:noProof/>
            <w:webHidden/>
          </w:rPr>
          <w:fldChar w:fldCharType="begin"/>
        </w:r>
        <w:r>
          <w:rPr>
            <w:noProof/>
            <w:webHidden/>
          </w:rPr>
          <w:instrText xml:space="preserve"> PAGEREF _Toc270847853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4" w:history="1">
        <w:r w:rsidRPr="00E30314">
          <w:rPr>
            <w:rStyle w:val="Hyperlink"/>
            <w:noProof/>
          </w:rPr>
          <w:t>6.4</w:t>
        </w:r>
        <w:r>
          <w:rPr>
            <w:noProof/>
            <w:sz w:val="22"/>
            <w:szCs w:val="22"/>
            <w:lang w:eastAsia="en-GB" w:bidi="ar-SA"/>
          </w:rPr>
          <w:tab/>
        </w:r>
        <w:r w:rsidRPr="00E30314">
          <w:rPr>
            <w:rStyle w:val="Hyperlink"/>
            <w:noProof/>
          </w:rPr>
          <w:t>System Performance</w:t>
        </w:r>
        <w:r>
          <w:rPr>
            <w:noProof/>
            <w:webHidden/>
          </w:rPr>
          <w:tab/>
        </w:r>
        <w:r>
          <w:rPr>
            <w:noProof/>
            <w:webHidden/>
          </w:rPr>
          <w:fldChar w:fldCharType="begin"/>
        </w:r>
        <w:r>
          <w:rPr>
            <w:noProof/>
            <w:webHidden/>
          </w:rPr>
          <w:instrText xml:space="preserve"> PAGEREF _Toc270847854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5" w:history="1">
        <w:r w:rsidRPr="00E30314">
          <w:rPr>
            <w:rStyle w:val="Hyperlink"/>
            <w:noProof/>
          </w:rPr>
          <w:t>6.5</w:t>
        </w:r>
        <w:r>
          <w:rPr>
            <w:noProof/>
            <w:sz w:val="22"/>
            <w:szCs w:val="22"/>
            <w:lang w:eastAsia="en-GB" w:bidi="ar-SA"/>
          </w:rPr>
          <w:tab/>
        </w:r>
        <w:r w:rsidRPr="00E30314">
          <w:rPr>
            <w:rStyle w:val="Hyperlink"/>
            <w:noProof/>
          </w:rPr>
          <w:t>Future Work</w:t>
        </w:r>
        <w:r>
          <w:rPr>
            <w:noProof/>
            <w:webHidden/>
          </w:rPr>
          <w:tab/>
        </w:r>
        <w:r>
          <w:rPr>
            <w:noProof/>
            <w:webHidden/>
          </w:rPr>
          <w:fldChar w:fldCharType="begin"/>
        </w:r>
        <w:r>
          <w:rPr>
            <w:noProof/>
            <w:webHidden/>
          </w:rPr>
          <w:instrText xml:space="preserve"> PAGEREF _Toc270847855 \h </w:instrText>
        </w:r>
        <w:r>
          <w:rPr>
            <w:noProof/>
            <w:webHidden/>
          </w:rPr>
        </w:r>
        <w:r>
          <w:rPr>
            <w:noProof/>
            <w:webHidden/>
          </w:rPr>
          <w:fldChar w:fldCharType="separate"/>
        </w:r>
        <w:r>
          <w:rPr>
            <w:noProof/>
            <w:webHidden/>
          </w:rPr>
          <w:t>41</w:t>
        </w:r>
        <w:r>
          <w:rPr>
            <w:noProof/>
            <w:webHidden/>
          </w:rPr>
          <w:fldChar w:fldCharType="end"/>
        </w:r>
      </w:hyperlink>
    </w:p>
    <w:p w:rsidR="009000AA" w:rsidRDefault="009000AA">
      <w:pPr>
        <w:pStyle w:val="TOC2"/>
        <w:tabs>
          <w:tab w:val="left" w:pos="880"/>
          <w:tab w:val="right" w:leader="dot" w:pos="8381"/>
        </w:tabs>
        <w:rPr>
          <w:noProof/>
          <w:sz w:val="22"/>
          <w:szCs w:val="22"/>
          <w:lang w:eastAsia="en-GB" w:bidi="ar-SA"/>
        </w:rPr>
      </w:pPr>
      <w:hyperlink w:anchor="_Toc270847856" w:history="1">
        <w:r w:rsidRPr="00E30314">
          <w:rPr>
            <w:rStyle w:val="Hyperlink"/>
            <w:noProof/>
          </w:rPr>
          <w:t>6.6</w:t>
        </w:r>
        <w:r>
          <w:rPr>
            <w:noProof/>
            <w:sz w:val="22"/>
            <w:szCs w:val="22"/>
            <w:lang w:eastAsia="en-GB" w:bidi="ar-SA"/>
          </w:rPr>
          <w:tab/>
        </w:r>
        <w:r w:rsidRPr="00E30314">
          <w:rPr>
            <w:rStyle w:val="Hyperlink"/>
            <w:noProof/>
          </w:rPr>
          <w:t>Conclusions</w:t>
        </w:r>
        <w:r>
          <w:rPr>
            <w:noProof/>
            <w:webHidden/>
          </w:rPr>
          <w:tab/>
        </w:r>
        <w:r>
          <w:rPr>
            <w:noProof/>
            <w:webHidden/>
          </w:rPr>
          <w:fldChar w:fldCharType="begin"/>
        </w:r>
        <w:r>
          <w:rPr>
            <w:noProof/>
            <w:webHidden/>
          </w:rPr>
          <w:instrText xml:space="preserve"> PAGEREF _Toc270847856 \h </w:instrText>
        </w:r>
        <w:r>
          <w:rPr>
            <w:noProof/>
            <w:webHidden/>
          </w:rPr>
        </w:r>
        <w:r>
          <w:rPr>
            <w:noProof/>
            <w:webHidden/>
          </w:rPr>
          <w:fldChar w:fldCharType="separate"/>
        </w:r>
        <w:r>
          <w:rPr>
            <w:noProof/>
            <w:webHidden/>
          </w:rPr>
          <w:t>42</w:t>
        </w:r>
        <w:r>
          <w:rPr>
            <w:noProof/>
            <w:webHidden/>
          </w:rPr>
          <w:fldChar w:fldCharType="end"/>
        </w:r>
      </w:hyperlink>
    </w:p>
    <w:p w:rsidR="009000AA" w:rsidRDefault="009000AA">
      <w:pPr>
        <w:pStyle w:val="TOC1"/>
        <w:tabs>
          <w:tab w:val="left" w:pos="480"/>
          <w:tab w:val="right" w:leader="dot" w:pos="8381"/>
        </w:tabs>
        <w:rPr>
          <w:noProof/>
          <w:sz w:val="22"/>
          <w:szCs w:val="22"/>
          <w:lang w:eastAsia="en-GB" w:bidi="ar-SA"/>
        </w:rPr>
      </w:pPr>
      <w:hyperlink w:anchor="_Toc270847857" w:history="1">
        <w:r w:rsidRPr="00E30314">
          <w:rPr>
            <w:rStyle w:val="Hyperlink"/>
            <w:noProof/>
          </w:rPr>
          <w:t>7</w:t>
        </w:r>
        <w:r>
          <w:rPr>
            <w:noProof/>
            <w:sz w:val="22"/>
            <w:szCs w:val="22"/>
            <w:lang w:eastAsia="en-GB" w:bidi="ar-SA"/>
          </w:rPr>
          <w:tab/>
        </w:r>
        <w:r w:rsidRPr="00E30314">
          <w:rPr>
            <w:rStyle w:val="Hyperlink"/>
            <w:noProof/>
          </w:rPr>
          <w:t>Bibliography</w:t>
        </w:r>
        <w:r>
          <w:rPr>
            <w:noProof/>
            <w:webHidden/>
          </w:rPr>
          <w:tab/>
        </w:r>
        <w:r>
          <w:rPr>
            <w:noProof/>
            <w:webHidden/>
          </w:rPr>
          <w:fldChar w:fldCharType="begin"/>
        </w:r>
        <w:r>
          <w:rPr>
            <w:noProof/>
            <w:webHidden/>
          </w:rPr>
          <w:instrText xml:space="preserve"> PAGEREF _Toc270847857 \h </w:instrText>
        </w:r>
        <w:r>
          <w:rPr>
            <w:noProof/>
            <w:webHidden/>
          </w:rPr>
        </w:r>
        <w:r>
          <w:rPr>
            <w:noProof/>
            <w:webHidden/>
          </w:rPr>
          <w:fldChar w:fldCharType="separate"/>
        </w:r>
        <w:r>
          <w:rPr>
            <w:noProof/>
            <w:webHidden/>
          </w:rPr>
          <w:t>43</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847830"/>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9000AA">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9000AA">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9000AA">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9000AA">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9000AA">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9000AA">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9000AA">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9000AA">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9000AA">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9000AA">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9000AA">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9000AA">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847831"/>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847832"/>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9000A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9000A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9000A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847833"/>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9000A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9000AA">
        <w:t xml:space="preserve">Sample </w:t>
      </w:r>
      <w:r w:rsidR="009000A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9000AA">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9000AA">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9000A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9000A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847834"/>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9000A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9000A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9000A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9000A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9000A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847835"/>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9000A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9000A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9000A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9000A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847836"/>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9000A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9000A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proofErr w:type="gramEnd"/>
          <w:r w:rsidR="00B225E2">
            <w:rPr>
              <w:lang w:eastAsia="zh-TW"/>
            </w:rPr>
            <w:fldChar w:fldCharType="begin"/>
          </w:r>
          <w:r>
            <w:rPr>
              <w:lang w:eastAsia="zh-TW"/>
            </w:rPr>
            <w:instrText xml:space="preserve"> CITATION Ahn \t  \l 2057  </w:instrText>
          </w:r>
          <w:r w:rsidR="00B225E2">
            <w:rPr>
              <w:lang w:eastAsia="zh-TW"/>
            </w:rPr>
            <w:fldChar w:fldCharType="separate"/>
          </w:r>
          <w:r w:rsidR="009000AA">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9000A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9000A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9000A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9000A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9000A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9000A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9000A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9000A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9000A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9000A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9000A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847837"/>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9000AA">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847838"/>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9000AA">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more detailed implementation details on the internal representation of timexes and documents is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054DA3" w:rsidP="00054DA3">
      <w:pPr>
        <w:pStyle w:val="Heading2"/>
      </w:pPr>
      <w:bookmarkStart w:id="64" w:name="_Toc270847839"/>
      <w:r>
        <w:t>Architecture</w:t>
      </w:r>
      <w:bookmarkEnd w:id="64"/>
    </w:p>
    <w:p w:rsidR="00054DA3" w:rsidRDefault="007A044D" w:rsidP="00054DA3">
      <w:pPr>
        <w:keepNext/>
      </w:pPr>
      <w:r>
        <w:object w:dxaOrig="11526" w:dyaOrig="8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95.5pt" o:ole="">
            <v:imagedata r:id="rId25" o:title=""/>
          </v:shape>
          <o:OLEObject Type="Embed" ProgID="Visio.Drawing.11" ShapeID="_x0000_i1025" DrawAspect="Content" ObjectID="_1344602066" r:id="rId26"/>
        </w:object>
      </w: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9000AA">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9000AA">
        <w:t xml:space="preserve">Figure </w:t>
      </w:r>
      <w:r w:rsidR="009000AA">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expressions (and their type) in the document, and then to a normaliser, which annotates the attributes (e.g., the value and any modifiers) of the identified timexes.</w:t>
      </w:r>
      <w:r w:rsidR="00AC25E0">
        <w:t xml:space="preserve"> Finally, this new timex data is </w:t>
      </w:r>
      <w:r w:rsidR="00AC25E0">
        <w:lastRenderedPageBreak/>
        <w:t>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9000AA">
        <w:t xml:space="preserve">Sample </w:t>
      </w:r>
      <w:r w:rsidR="009000AA">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6" w:name="_Ref270759861"/>
      <w:r>
        <w:t xml:space="preserve">Sample </w:t>
      </w:r>
      <w:r>
        <w:fldChar w:fldCharType="begin"/>
      </w:r>
      <w:r>
        <w:instrText xml:space="preserve"> SEQ Sample \* ARABIC </w:instrText>
      </w:r>
      <w:r>
        <w:fldChar w:fldCharType="separate"/>
      </w:r>
      <w:r w:rsidR="009000AA">
        <w:rPr>
          <w:noProof/>
        </w:rPr>
        <w:t>2</w:t>
      </w:r>
      <w:r>
        <w:fldChar w:fldCharType="end"/>
      </w:r>
      <w:bookmarkEnd w:id="66"/>
      <w:r>
        <w:t xml:space="preserve"> - Using the TERNIP API</w:t>
      </w:r>
    </w:p>
    <w:p w:rsidR="00054DA3" w:rsidRDefault="00054DA3" w:rsidP="00054DA3">
      <w:pPr>
        <w:pStyle w:val="Heading2"/>
      </w:pPr>
      <w:bookmarkStart w:id="67" w:name="_Toc270847840"/>
      <w:r>
        <w:lastRenderedPageBreak/>
        <w:t>Implementation Methodology</w:t>
      </w:r>
      <w:bookmarkEnd w:id="67"/>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9000A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9000A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8" w:name="_Ref270419873"/>
    </w:p>
    <w:p w:rsidR="00DE3852" w:rsidRDefault="00DE3852" w:rsidP="00C76323">
      <w:pPr>
        <w:pStyle w:val="Heading2"/>
      </w:pPr>
      <w:bookmarkStart w:id="69" w:name="_Toc270847841"/>
      <w:r>
        <w:t>A</w:t>
      </w:r>
      <w:bookmarkEnd w:id="68"/>
      <w:r w:rsidR="0069041B">
        <w:t>bstract Representation Of Timexes</w:t>
      </w:r>
      <w:bookmarkEnd w:id="69"/>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9000A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9000AA">
        <w:t xml:space="preserve">Table </w:t>
      </w:r>
      <w:r w:rsidR="009000A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0" w:name="_Ref270079381"/>
      <w:r>
        <w:t xml:space="preserve">Table </w:t>
      </w:r>
      <w:r>
        <w:fldChar w:fldCharType="begin"/>
      </w:r>
      <w:r>
        <w:instrText xml:space="preserve"> SEQ Table \* ARABIC </w:instrText>
      </w:r>
      <w:r>
        <w:fldChar w:fldCharType="separate"/>
      </w:r>
      <w:r w:rsidR="009000AA">
        <w:rPr>
          <w:noProof/>
        </w:rPr>
        <w:t>1</w:t>
      </w:r>
      <w:r>
        <w:fldChar w:fldCharType="end"/>
      </w:r>
      <w:bookmarkEnd w:id="70"/>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9000AA">
        <w:t>4.8</w:t>
      </w:r>
      <w:r w:rsidR="0009156E">
        <w:fldChar w:fldCharType="end"/>
      </w:r>
      <w:r w:rsidR="0009156E">
        <w:t>.</w:t>
      </w:r>
    </w:p>
    <w:p w:rsidR="00877110" w:rsidRDefault="00877110" w:rsidP="00877110">
      <w:pPr>
        <w:pStyle w:val="Heading2"/>
      </w:pPr>
      <w:bookmarkStart w:id="71" w:name="_Toc270847842"/>
      <w:bookmarkStart w:id="72" w:name="_Ref270849786"/>
      <w:r>
        <w:t>Abstract Representation Of Documents</w:t>
      </w:r>
      <w:bookmarkEnd w:id="71"/>
      <w:bookmarkEnd w:id="72"/>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9000A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9000AA">
        <w:t xml:space="preserve">Sample </w:t>
      </w:r>
      <w:r w:rsidR="009000AA">
        <w:rPr>
          <w:noProof/>
        </w:rPr>
        <w:t>3</w:t>
      </w:r>
      <w:r w:rsidR="001A6585">
        <w:fldChar w:fldCharType="end"/>
      </w:r>
      <w:r w:rsidR="001A6585">
        <w:t xml:space="preserve">, where a document consisting of a single sentence (“He derided Egypt for signing a peace treaty with Israel in 1979.”) with the penultimate token annotated as a timex. In the case where a timex spans multiple tokens, then the same </w:t>
      </w:r>
      <w:r w:rsidR="008D06F1">
        <w:t xml:space="preserve">timex object will be associated with </w:t>
      </w:r>
      <w:r w:rsidR="00D16204">
        <w:t>every token in the expression.</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3" w:name="_Ref270080747"/>
      <w:r>
        <w:lastRenderedPageBreak/>
        <w:t xml:space="preserve">Sample </w:t>
      </w:r>
      <w:r>
        <w:fldChar w:fldCharType="begin"/>
      </w:r>
      <w:r>
        <w:instrText xml:space="preserve"> SEQ Sample \* ARABIC </w:instrText>
      </w:r>
      <w:r>
        <w:fldChar w:fldCharType="separate"/>
      </w:r>
      <w:r w:rsidR="009000AA">
        <w:rPr>
          <w:noProof/>
        </w:rPr>
        <w:t>3</w:t>
      </w:r>
      <w:r>
        <w:fldChar w:fldCharType="end"/>
      </w:r>
      <w:bookmarkEnd w:id="73"/>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9000AA">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9000AA">
        <w:t>4.8</w:t>
      </w:r>
      <w:r>
        <w:fldChar w:fldCharType="end"/>
      </w:r>
      <w:r>
        <w:t>.</w:t>
      </w:r>
    </w:p>
    <w:p w:rsidR="007A044D" w:rsidRDefault="007A044D" w:rsidP="007A044D">
      <w:pPr>
        <w:pStyle w:val="Heading2"/>
      </w:pPr>
      <w:bookmarkStart w:id="74" w:name="_Toc270847843"/>
      <w:r>
        <w:t>Rule Engine</w:t>
      </w:r>
      <w:bookmarkEnd w:id="74"/>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9000AA">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9000AA">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9000AA">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9000AA">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9000AA">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9000AA">
        <w:t>4.5.6</w:t>
      </w:r>
      <w:r w:rsidR="008A4CA7">
        <w:fldChar w:fldCharType="end"/>
      </w:r>
      <w:r w:rsidR="008A4CA7">
        <w:t>.</w:t>
      </w:r>
    </w:p>
    <w:p w:rsidR="007A044D" w:rsidRDefault="007A044D" w:rsidP="007A044D">
      <w:pPr>
        <w:pStyle w:val="Heading3"/>
      </w:pPr>
      <w:bookmarkStart w:id="75" w:name="_Ref270773029"/>
      <w:r>
        <w:t>Pattern Matching</w:t>
      </w:r>
      <w:bookmarkEnd w:id="75"/>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6" w:name="_Ref270772988"/>
      <w:r>
        <w:t xml:space="preserve">The NLTK class </w:t>
      </w:r>
      <w:proofErr w:type="spellStart"/>
      <w:r w:rsidRPr="00F9610F">
        <w:rPr>
          <w:rStyle w:val="Code"/>
        </w:rPr>
        <w:t>nltk.text.TokenSearcher</w:t>
      </w:r>
      <w:proofErr w:type="spellEnd"/>
      <w:r>
        <w:t xml:space="preserve"> </w:t>
      </w:r>
      <w:sdt>
        <w:sdtPr>
          <w:id w:val="384767500"/>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w:t>
      </w:r>
      <w:r>
        <w:lastRenderedPageBreak/>
        <w:t xml:space="preserve">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9000AA">
        <w:t xml:space="preserve">Sample </w:t>
      </w:r>
      <w:r w:rsidR="009000AA">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9000AA">
        <w:t xml:space="preserve">Sample </w:t>
      </w:r>
      <w:r w:rsidR="009000AA">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7" w:name="_Ref270164724"/>
      <w:r>
        <w:t xml:space="preserve">Sample </w:t>
      </w:r>
      <w:r>
        <w:fldChar w:fldCharType="begin"/>
      </w:r>
      <w:r>
        <w:instrText xml:space="preserve"> SEQ Sample \* ARABIC </w:instrText>
      </w:r>
      <w:r>
        <w:fldChar w:fldCharType="separate"/>
      </w:r>
      <w:r w:rsidR="009000AA">
        <w:rPr>
          <w:noProof/>
        </w:rPr>
        <w:t>4</w:t>
      </w:r>
      <w:r>
        <w:fldChar w:fldCharType="end"/>
      </w:r>
      <w:bookmarkEnd w:id="77"/>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lastRenderedPageBreak/>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 xml:space="preserve">compact expression, then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8" w:name="_Ref270847351"/>
      <w:r>
        <w:t>Basic Rule Format</w:t>
      </w:r>
      <w:bookmarkEnd w:id="76"/>
      <w:bookmarkEnd w:id="78"/>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9000AA">
        <w:t xml:space="preserve">Sample </w:t>
      </w:r>
      <w:r w:rsidR="009000AA">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79" w:name="_Ref270170684"/>
      <w:r>
        <w:t xml:space="preserve">Sample </w:t>
      </w:r>
      <w:r>
        <w:fldChar w:fldCharType="begin"/>
      </w:r>
      <w:r>
        <w:instrText xml:space="preserve"> SEQ Sample \* ARABIC </w:instrText>
      </w:r>
      <w:r>
        <w:fldChar w:fldCharType="separate"/>
      </w:r>
      <w:r w:rsidR="009000AA">
        <w:rPr>
          <w:noProof/>
        </w:rPr>
        <w:t>5</w:t>
      </w:r>
      <w:r>
        <w:fldChar w:fldCharType="end"/>
      </w:r>
      <w:bookmarkEnd w:id="79"/>
      <w:r>
        <w:t xml:space="preserve"> - a minimal definition of a single recognition rule</w:t>
      </w:r>
    </w:p>
    <w:p w:rsidR="00633D3D" w:rsidRDefault="00633D3D" w:rsidP="00633D3D">
      <w:r>
        <w:lastRenderedPageBreak/>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9000AA">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9000AA">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9000AA">
        <w:t xml:space="preserve">Table </w:t>
      </w:r>
      <w:r w:rsidR="009000AA">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9000AA">
              <w:t xml:space="preserve">Table </w:t>
            </w:r>
            <w:r w:rsidR="009000AA">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0" w:name="_Ref270169329"/>
      <w:r>
        <w:t xml:space="preserve">Table </w:t>
      </w:r>
      <w:r>
        <w:fldChar w:fldCharType="begin"/>
      </w:r>
      <w:r>
        <w:instrText xml:space="preserve"> SEQ Table \* ARABIC </w:instrText>
      </w:r>
      <w:r>
        <w:fldChar w:fldCharType="separate"/>
      </w:r>
      <w:r w:rsidR="009000AA">
        <w:rPr>
          <w:noProof/>
        </w:rPr>
        <w:t>2</w:t>
      </w:r>
      <w:r>
        <w:fldChar w:fldCharType="end"/>
      </w:r>
      <w:bookmarkEnd w:id="80"/>
      <w:r>
        <w:t xml:space="preserve"> - Accepted fields in recognition rule definitions</w:t>
      </w:r>
    </w:p>
    <w:p w:rsidR="00664EAA" w:rsidRDefault="00664EAA" w:rsidP="00765B04">
      <w:r>
        <w:t xml:space="preserve">The acceptable keys for normalisation rules differ from recognition rules to reflect the different rule attributes that need to be set. </w:t>
      </w:r>
      <w:r>
        <w:fldChar w:fldCharType="begin"/>
      </w:r>
      <w:r>
        <w:instrText xml:space="preserve"> REF _Ref270779363 \h </w:instrText>
      </w:r>
      <w:r>
        <w:fldChar w:fldCharType="separate"/>
      </w:r>
      <w:r w:rsidR="009000AA">
        <w:t xml:space="preserve">Sample </w:t>
      </w:r>
      <w:r w:rsidR="009000AA">
        <w:rPr>
          <w:noProof/>
        </w:rPr>
        <w:t>6</w:t>
      </w:r>
      <w:r>
        <w:fldChar w:fldCharType="end"/>
      </w:r>
      <w:r>
        <w:t xml:space="preserve"> demonstrates a moderately complex recognition rule</w:t>
      </w:r>
    </w:p>
    <w:p w:rsidR="00664EAA" w:rsidRDefault="00664EAA" w:rsidP="00664EAA">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664EAA" w:rsidRPr="00664EAA" w:rsidRDefault="00664EAA" w:rsidP="00664EAA">
      <w:pPr>
        <w:pStyle w:val="Caption"/>
        <w:rPr>
          <w:rFonts w:ascii="Consolas" w:hAnsi="Consolas"/>
          <w:sz w:val="20"/>
        </w:rPr>
      </w:pPr>
      <w:bookmarkStart w:id="81" w:name="_Ref270779363"/>
      <w:r>
        <w:t xml:space="preserve">Sample </w:t>
      </w:r>
      <w:r>
        <w:fldChar w:fldCharType="begin"/>
      </w:r>
      <w:r>
        <w:instrText xml:space="preserve"> SEQ Sample \* ARABIC </w:instrText>
      </w:r>
      <w:r>
        <w:fldChar w:fldCharType="separate"/>
      </w:r>
      <w:r w:rsidR="009000AA">
        <w:rPr>
          <w:noProof/>
        </w:rPr>
        <w:t>6</w:t>
      </w:r>
      <w:r>
        <w:fldChar w:fldCharType="end"/>
      </w:r>
      <w:bookmarkEnd w:id="81"/>
      <w:r>
        <w:t xml:space="preserve"> - a more complex normalisation rule for normalising expressions like “Last Tuesday”</w:t>
      </w:r>
    </w:p>
    <w:p w:rsidR="00765B04" w:rsidRDefault="00C864FC" w:rsidP="00765B04">
      <w:r>
        <w:lastRenderedPageBreak/>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9000AA">
        <w:t xml:space="preserve">Sample </w:t>
      </w:r>
      <w:r w:rsidR="009000AA">
        <w:rPr>
          <w:noProof/>
        </w:rPr>
        <w:t>7</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2" w:name="_Ref270249362"/>
      <w:r>
        <w:t xml:space="preserve">Sample </w:t>
      </w:r>
      <w:r>
        <w:fldChar w:fldCharType="begin"/>
      </w:r>
      <w:r>
        <w:instrText xml:space="preserve"> SEQ Sample \* ARABIC </w:instrText>
      </w:r>
      <w:r>
        <w:fldChar w:fldCharType="separate"/>
      </w:r>
      <w:r w:rsidR="009000AA">
        <w:rPr>
          <w:noProof/>
        </w:rPr>
        <w:t>7</w:t>
      </w:r>
      <w:r>
        <w:fldChar w:fldCharType="end"/>
      </w:r>
      <w:bookmarkEnd w:id="82"/>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9775F7">
        <w:t>4.7.1</w:t>
      </w:r>
      <w:r w:rsidR="009775F7">
        <w:fldChar w:fldCharType="end"/>
      </w:r>
      <w:r>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9000AA">
        <w:t xml:space="preserve">Table </w:t>
      </w:r>
      <w:r w:rsidR="009000AA">
        <w:rPr>
          <w:noProof/>
        </w:rPr>
        <w:t>3</w:t>
      </w:r>
      <w:r>
        <w:fldChar w:fldCharType="end"/>
      </w:r>
      <w:r>
        <w:t xml:space="preserve"> </w:t>
      </w:r>
      <w:r>
        <w:fldChar w:fldCharType="begin"/>
      </w:r>
      <w:r>
        <w:instrText xml:space="preserve"> REF _Ref270779459 \p \h </w:instrText>
      </w:r>
      <w:r>
        <w:fldChar w:fldCharType="separate"/>
      </w:r>
      <w:r w:rsidR="009000AA">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3" w:name="_Ref270779450"/>
      <w:bookmarkStart w:id="84" w:name="_Ref270779459"/>
      <w:r>
        <w:t xml:space="preserve">Table </w:t>
      </w:r>
      <w:r>
        <w:fldChar w:fldCharType="begin"/>
      </w:r>
      <w:r>
        <w:instrText xml:space="preserve"> SEQ Table \* ARABIC </w:instrText>
      </w:r>
      <w:r>
        <w:fldChar w:fldCharType="separate"/>
      </w:r>
      <w:r w:rsidR="009000AA">
        <w:rPr>
          <w:noProof/>
        </w:rPr>
        <w:t>3</w:t>
      </w:r>
      <w:r>
        <w:fldChar w:fldCharType="end"/>
      </w:r>
      <w:bookmarkEnd w:id="83"/>
      <w:r>
        <w:t xml:space="preserve"> -</w:t>
      </w:r>
      <w:r w:rsidRPr="00CB366F">
        <w:t xml:space="preserve"> Accepted fields in </w:t>
      </w:r>
      <w:r>
        <w:t>normalisation</w:t>
      </w:r>
      <w:r w:rsidRPr="00CB366F">
        <w:t xml:space="preserve"> rule definitions</w:t>
      </w:r>
      <w:bookmarkEnd w:id="84"/>
    </w:p>
    <w:p w:rsidR="007A044D" w:rsidRDefault="007A044D" w:rsidP="007A044D">
      <w:pPr>
        <w:pStyle w:val="Heading3"/>
      </w:pPr>
      <w:bookmarkStart w:id="85" w:name="_Ref270772992"/>
      <w:r>
        <w:t>Complex Rule Format</w:t>
      </w:r>
      <w:bookmarkEnd w:id="85"/>
    </w:p>
    <w:p w:rsidR="00BC17BB" w:rsidRDefault="00BC17BB" w:rsidP="00BC17BB">
      <w:bookmarkStart w:id="86"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9000AA">
        <w:t xml:space="preserve">Sample </w:t>
      </w:r>
      <w:r w:rsidR="009000AA">
        <w:rPr>
          <w:noProof/>
        </w:rPr>
        <w:t>8</w:t>
      </w:r>
      <w:r>
        <w:fldChar w:fldCharType="end"/>
      </w:r>
      <w:r>
        <w:t xml:space="preserve"> shows an example of a complex recognition 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lastRenderedPageBreak/>
        <w:t xml:space="preserve"> </w:t>
      </w:r>
      <w:r w:rsidRPr="00D54391">
        <w:rPr>
          <w:rStyle w:val="Code"/>
        </w:rPr>
        <w:t xml:space="preserve">           guard = False</w:t>
      </w:r>
      <w:r>
        <w:rPr>
          <w:rStyle w:val="Code"/>
        </w:rPr>
        <w:br/>
      </w:r>
      <w:r w:rsidRPr="00D54391">
        <w:rPr>
          <w:rStyle w:val="Code"/>
        </w:rPr>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7" w:name="_Ref270762764"/>
      <w:r>
        <w:t xml:space="preserve">Sample </w:t>
      </w:r>
      <w:r>
        <w:fldChar w:fldCharType="begin"/>
      </w:r>
      <w:r>
        <w:instrText xml:space="preserve"> SEQ Sample \* ARABIC </w:instrText>
      </w:r>
      <w:r>
        <w:fldChar w:fldCharType="separate"/>
      </w:r>
      <w:r w:rsidR="009000AA">
        <w:rPr>
          <w:noProof/>
        </w:rPr>
        <w:t>8</w:t>
      </w:r>
      <w:r>
        <w:fldChar w:fldCharType="end"/>
      </w:r>
      <w:bookmarkEnd w:id="87"/>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88" w:name="_Ref270847373"/>
      <w:r>
        <w:rPr>
          <w:rStyle w:val="Code"/>
          <w:rFonts w:asciiTheme="minorHAnsi" w:hAnsiTheme="minorHAnsi"/>
          <w:sz w:val="24"/>
        </w:rPr>
        <w:t>Ordering and Dependencies</w:t>
      </w:r>
      <w:bookmarkEnd w:id="86"/>
      <w:bookmarkEnd w:id="88"/>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w:t>
      </w:r>
      <w:r w:rsidR="00B949F5">
        <w:lastRenderedPageBreak/>
        <w:t xml:space="preserve">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9000AA">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89" w:name="_Ref270772996"/>
      <w:r>
        <w:t>Rule Blocks</w:t>
      </w:r>
      <w:bookmarkEnd w:id="89"/>
    </w:p>
    <w:p w:rsidR="00D613C9" w:rsidRDefault="00C948D6" w:rsidP="00D613C9">
      <w:r>
        <w:t>In addition to simple and complex rules shown above, there exists the concept of rule blocks. Rule blocks group many rules together, with an implicit execution ordering, and the entire block is ordered as 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0" w:name="_Ref270093042"/>
      <w:proofErr w:type="gramStart"/>
      <w:r>
        <w:t xml:space="preserve">Sample </w:t>
      </w:r>
      <w:proofErr w:type="gramEnd"/>
      <w:r>
        <w:fldChar w:fldCharType="begin"/>
      </w:r>
      <w:r>
        <w:instrText xml:space="preserve"> SEQ Sample \* ARABIC </w:instrText>
      </w:r>
      <w:r>
        <w:fldChar w:fldCharType="separate"/>
      </w:r>
      <w:r w:rsidR="009000AA">
        <w:rPr>
          <w:noProof/>
        </w:rPr>
        <w:t>9</w:t>
      </w:r>
      <w:r>
        <w:fldChar w:fldCharType="end"/>
      </w:r>
      <w:bookmarkEnd w:id="90"/>
      <w:proofErr w:type="gramStart"/>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9000AA">
        <w:t xml:space="preserve">Sample </w:t>
      </w:r>
      <w:r w:rsidR="009000AA">
        <w:rPr>
          <w:noProof/>
        </w:rPr>
        <w:t>9</w:t>
      </w:r>
      <w:r>
        <w:fldChar w:fldCharType="end"/>
      </w:r>
      <w:r>
        <w:t xml:space="preserve"> shows a sample rule block, and </w:t>
      </w:r>
      <w:r>
        <w:fldChar w:fldCharType="begin"/>
      </w:r>
      <w:r>
        <w:instrText xml:space="preserve"> REF _Ref270091918 \h </w:instrText>
      </w:r>
      <w:r>
        <w:fldChar w:fldCharType="separate"/>
      </w:r>
      <w:r w:rsidR="009000AA">
        <w:t xml:space="preserve">Table </w:t>
      </w:r>
      <w:r w:rsidR="009000AA">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1" w:name="_Ref270091918"/>
      <w:bookmarkStart w:id="92" w:name="_Ref270092175"/>
      <w:r>
        <w:t xml:space="preserve">Table </w:t>
      </w:r>
      <w:r>
        <w:fldChar w:fldCharType="begin"/>
      </w:r>
      <w:r>
        <w:instrText xml:space="preserve"> SEQ Table \* ARABIC </w:instrText>
      </w:r>
      <w:r>
        <w:fldChar w:fldCharType="separate"/>
      </w:r>
      <w:r w:rsidR="009000AA">
        <w:rPr>
          <w:noProof/>
        </w:rPr>
        <w:t>4</w:t>
      </w:r>
      <w:r>
        <w:fldChar w:fldCharType="end"/>
      </w:r>
      <w:bookmarkEnd w:id="91"/>
      <w:r>
        <w:t xml:space="preserve"> - Accepted fields in rule block headers</w:t>
      </w:r>
      <w:bookmarkEnd w:id="92"/>
    </w:p>
    <w:p w:rsidR="00D613C9" w:rsidRDefault="00D613C9" w:rsidP="00D613C9">
      <w:r>
        <w:lastRenderedPageBreak/>
        <w:t xml:space="preserve">As shown </w:t>
      </w:r>
      <w:r>
        <w:fldChar w:fldCharType="begin"/>
      </w:r>
      <w:r>
        <w:instrText xml:space="preserve"> REF _Ref270092175 \p \h </w:instrText>
      </w:r>
      <w:r>
        <w:fldChar w:fldCharType="separate"/>
      </w:r>
      <w:r w:rsidR="009000AA">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3" w:name="_Ref270772943"/>
      <w:r>
        <w:t>Flow of Control</w:t>
      </w:r>
      <w:bookmarkEnd w:id="93"/>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4" w:name="_Ref270782292"/>
      <w:r>
        <w:lastRenderedPageBreak/>
        <w:t>Recognition Rule Engine</w:t>
      </w:r>
      <w:bookmarkEnd w:id="94"/>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As execution proceeds, rules can also change the current “context” of the document – a base date/time that rules can use to compute relative expressions. 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lastRenderedPageBreak/>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body guard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5" w:name="_Toc270847844"/>
      <w:r>
        <w:t>Recognition Rules</w:t>
      </w:r>
      <w:bookmarkEnd w:id="95"/>
    </w:p>
    <w:p w:rsidR="00A6694A" w:rsidRDefault="00A6694A" w:rsidP="00A6694A">
      <w:r>
        <w:t xml:space="preserve">TERNIP provides one rule set for recognition, consisting of 72 rules, which consists of rules translated from the GUTime </w:t>
      </w:r>
      <w:sdt>
        <w:sdtPr>
          <w:id w:val="1270347027"/>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2000),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9000AA">
        <w:t>5</w:t>
      </w:r>
      <w:r>
        <w:fldChar w:fldCharType="end"/>
      </w:r>
      <w:r>
        <w:t>.</w:t>
      </w:r>
    </w:p>
    <w:p w:rsidR="00A6694A" w:rsidRDefault="007A044D" w:rsidP="00A6694A">
      <w:pPr>
        <w:pStyle w:val="Heading2"/>
      </w:pPr>
      <w:bookmarkStart w:id="96" w:name="_Toc270847845"/>
      <w:r>
        <w:lastRenderedPageBreak/>
        <w:t>Normalisation Rules</w:t>
      </w:r>
      <w:bookmarkEnd w:id="96"/>
    </w:p>
    <w:p w:rsidR="00A6694A" w:rsidRDefault="00A6694A" w:rsidP="00A6694A">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9000AA">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9000AA">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9000AA">
        <w:t xml:space="preserve">Sample </w:t>
      </w:r>
      <w:r w:rsidR="009000AA">
        <w:rPr>
          <w:noProof/>
        </w:rPr>
        <w:t>10</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7" w:name="_Ref270352805"/>
      <w:r>
        <w:t xml:space="preserve">Sample </w:t>
      </w:r>
      <w:r>
        <w:fldChar w:fldCharType="begin"/>
      </w:r>
      <w:r>
        <w:instrText xml:space="preserve"> SEQ Sample \* ARABIC </w:instrText>
      </w:r>
      <w:r>
        <w:fldChar w:fldCharType="separate"/>
      </w:r>
      <w:r w:rsidR="009000AA">
        <w:rPr>
          <w:noProof/>
        </w:rPr>
        <w:t>10</w:t>
      </w:r>
      <w:r>
        <w:fldChar w:fldCharType="end"/>
      </w:r>
      <w:bookmarkEnd w:id="97"/>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9000AA">
        <w:t xml:space="preserve">Sample </w:t>
      </w:r>
      <w:r w:rsidR="009000AA">
        <w:rPr>
          <w:noProof/>
        </w:rPr>
        <w:t>10</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9000AA">
        <w:t>5</w:t>
      </w:r>
      <w:r>
        <w:fldChar w:fldCharType="end"/>
      </w:r>
      <w:r>
        <w:t>.</w:t>
      </w:r>
      <w:bookmarkStart w:id="98" w:name="_Ref270250370"/>
    </w:p>
    <w:p w:rsidR="00507AD8" w:rsidRDefault="00507AD8" w:rsidP="00507AD8">
      <w:pPr>
        <w:pStyle w:val="Heading3"/>
      </w:pPr>
      <w:bookmarkStart w:id="99" w:name="_Ref270773522"/>
      <w:r>
        <w:lastRenderedPageBreak/>
        <w:t>Normalisation Support Functions</w:t>
      </w:r>
      <w:bookmarkEnd w:id="98"/>
      <w:bookmarkEnd w:id="99"/>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Content>
          <w:r w:rsidR="00507AD8">
            <w:fldChar w:fldCharType="begin"/>
          </w:r>
          <w:r w:rsidR="00507AD8">
            <w:instrText xml:space="preserve"> CITATION Ver05 \l 2057 </w:instrText>
          </w:r>
          <w:r w:rsidR="00507AD8">
            <w:fldChar w:fldCharType="separate"/>
          </w:r>
          <w:r w:rsidR="009000AA">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w:t>
      </w:r>
      <w:r>
        <w:lastRenderedPageBreak/>
        <w:t xml:space="preserve">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0" w:name="_Ref270081455"/>
      <w:bookmarkStart w:id="101" w:name="_Ref270081470"/>
      <w:bookmarkStart w:id="102" w:name="_Ref270082008"/>
      <w:bookmarkStart w:id="103" w:name="_Toc270847846"/>
      <w:r>
        <w:t>Document Formats</w:t>
      </w:r>
      <w:bookmarkEnd w:id="100"/>
      <w:bookmarkEnd w:id="101"/>
      <w:bookmarkEnd w:id="102"/>
      <w:bookmarkEnd w:id="103"/>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81304A">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9000AA">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9000AA">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9000AA">
        <w:t>6</w:t>
      </w:r>
      <w:r w:rsidR="00681861">
        <w:fldChar w:fldCharType="end"/>
      </w:r>
      <w:r w:rsidR="00681861">
        <w:t>.</w:t>
      </w:r>
    </w:p>
    <w:p w:rsidR="001C239D"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w:t>
      </w:r>
      <w:r w:rsidR="00EF32D6">
        <w:lastRenderedPageBreak/>
        <w:t xml:space="preserve">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9000AA">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Content>
          <w:r>
            <w:fldChar w:fldCharType="begin"/>
          </w:r>
          <w:r>
            <w:instrText xml:space="preserve"> CITATION App98 \l 2057 </w:instrText>
          </w:r>
          <w:r>
            <w:fldChar w:fldCharType="separate"/>
          </w:r>
          <w:r w:rsidR="009000AA">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w:t>
      </w:r>
      <w:r w:rsidR="008C67CD">
        <w:lastRenderedPageBreak/>
        <w:t xml:space="preserve">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9000AA">
        <w:t xml:space="preserve">Figure </w:t>
      </w:r>
      <w:r w:rsidR="009000AA">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6" type="#_x0000_t75" style="width:159pt;height:168pt" o:ole="" o:bordertopcolor="this" o:borderleftcolor="this" o:borderbottomcolor="this" o:borderrightcolor="this">
            <v:imagedata r:id="rId27" o:title="" croptop="25967f" cropleft="4949f" cropright="24406f"/>
          </v:shape>
          <o:OLEObject Type="Embed" ProgID="Visio.Drawing.11" ShapeID="_x0000_i1026" DrawAspect="Content" ObjectID="_1344602067" r:id="rId28"/>
        </w:object>
      </w:r>
    </w:p>
    <w:p w:rsidR="00092057" w:rsidRDefault="009D6096" w:rsidP="009D6096">
      <w:pPr>
        <w:pStyle w:val="Caption"/>
        <w:jc w:val="center"/>
      </w:pPr>
      <w:bookmarkStart w:id="104" w:name="_Ref270431706"/>
      <w:r>
        <w:t xml:space="preserve">Figure </w:t>
      </w:r>
      <w:r>
        <w:fldChar w:fldCharType="begin"/>
      </w:r>
      <w:r>
        <w:instrText xml:space="preserve"> SEQ Figure \* ARABIC </w:instrText>
      </w:r>
      <w:r>
        <w:fldChar w:fldCharType="separate"/>
      </w:r>
      <w:r w:rsidR="009000AA">
        <w:rPr>
          <w:noProof/>
        </w:rPr>
        <w:t>2</w:t>
      </w:r>
      <w:r>
        <w:fldChar w:fldCharType="end"/>
      </w:r>
      <w:bookmarkEnd w:id="104"/>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9000AA">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lastRenderedPageBreak/>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5" w:name="_Ref270176962"/>
      <w:bookmarkStart w:id="106" w:name="_Toc270847847"/>
      <w:r>
        <w:lastRenderedPageBreak/>
        <w:t>Evaluation</w:t>
      </w:r>
      <w:bookmarkEnd w:id="105"/>
      <w:bookmarkEnd w:id="106"/>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7" w:name="_Toc270847848"/>
      <w:r>
        <w:t>System Performance</w:t>
      </w:r>
      <w:bookmarkEnd w:id="107"/>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9000AA">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9000AA">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9000AA">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9000AA">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340"/>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9000AA">
        <w:rPr>
          <w:noProof/>
        </w:rPr>
        <w:t>5</w:t>
      </w:r>
      <w:r>
        <w:fldChar w:fldCharType="end"/>
      </w:r>
      <w:r>
        <w:t xml:space="preserve"> - TERNIP and GUTime performance scores</w:t>
      </w:r>
    </w:p>
    <w:p w:rsidR="00331585" w:rsidRDefault="00331585" w:rsidP="00331585">
      <w:pPr>
        <w:pStyle w:val="Heading2"/>
      </w:pPr>
      <w:bookmarkStart w:id="108" w:name="_Toc270847849"/>
      <w:r>
        <w:t>Speed and Throughput</w:t>
      </w:r>
      <w:bookmarkEnd w:id="108"/>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9000AA">
        <w:t xml:space="preserve">Table </w:t>
      </w:r>
      <w:r w:rsidR="009000AA">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109" w:name="_Ref270525950"/>
      <w:r>
        <w:t xml:space="preserve">Table </w:t>
      </w:r>
      <w:r>
        <w:fldChar w:fldCharType="begin"/>
      </w:r>
      <w:r>
        <w:instrText xml:space="preserve"> SEQ Table \* ARABIC </w:instrText>
      </w:r>
      <w:r>
        <w:fldChar w:fldCharType="separate"/>
      </w:r>
      <w:r w:rsidR="009000AA">
        <w:rPr>
          <w:noProof/>
        </w:rPr>
        <w:t>6</w:t>
      </w:r>
      <w:r>
        <w:fldChar w:fldCharType="end"/>
      </w:r>
      <w:bookmarkEnd w:id="109"/>
      <w:r>
        <w:t xml:space="preserve"> - Performance of TERNIP and GUTime against the TERN corpus</w:t>
      </w:r>
    </w:p>
    <w:p w:rsidR="000104F4" w:rsidRPr="00A31840" w:rsidRDefault="000104F4" w:rsidP="00A31840">
      <w:pPr>
        <w:sectPr w:rsidR="000104F4"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0" w:name="_Ref270432977"/>
      <w:bookmarkStart w:id="111" w:name="_Toc270847850"/>
      <w:r>
        <w:lastRenderedPageBreak/>
        <w:t>Discussion</w:t>
      </w:r>
      <w:bookmarkEnd w:id="110"/>
      <w:bookmarkEnd w:id="111"/>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t>6.1</w:t>
      </w:r>
      <w:r>
        <w:fldChar w:fldCharType="end"/>
      </w:r>
      <w:r>
        <w:t xml:space="preserve"> analyses the system against the requirements identified in section </w:t>
      </w:r>
      <w:r>
        <w:fldChar w:fldCharType="begin"/>
      </w:r>
      <w:r>
        <w:instrText xml:space="preserve"> REF _Ref270598103 \r \h </w:instrText>
      </w:r>
      <w:r>
        <w:fldChar w:fldCharType="separate"/>
      </w:r>
      <w:r>
        <w:t>3</w:t>
      </w:r>
      <w:r>
        <w:fldChar w:fldCharType="end"/>
      </w:r>
      <w:r>
        <w:t xml:space="preserve">, and section </w:t>
      </w:r>
      <w:r>
        <w:fldChar w:fldCharType="begin"/>
      </w:r>
      <w:r>
        <w:instrText xml:space="preserve"> REF _Ref270854124 \r \h </w:instrText>
      </w:r>
      <w:r>
        <w:fldChar w:fldCharType="separate"/>
      </w:r>
      <w:r>
        <w:t>6.4</w:t>
      </w:r>
      <w:r>
        <w:fldChar w:fldCharType="end"/>
      </w:r>
      <w:r>
        <w:t xml:space="preserve"> analyses the performance of the system shown in section </w:t>
      </w:r>
      <w:r>
        <w:fldChar w:fldCharType="begin"/>
      </w:r>
      <w:r>
        <w:instrText xml:space="preserve"> REF _Ref270176962 \r \h </w:instrText>
      </w:r>
      <w:r>
        <w:fldChar w:fldCharType="separate"/>
      </w:r>
      <w:r>
        <w:t>5</w:t>
      </w:r>
      <w:r>
        <w:fldChar w:fldCharType="end"/>
      </w:r>
      <w:r>
        <w:t xml:space="preserve">. Section </w:t>
      </w:r>
      <w:r>
        <w:fldChar w:fldCharType="begin"/>
      </w:r>
      <w:r>
        <w:instrText xml:space="preserve"> REF _Ref270854081 \r \h </w:instrText>
      </w:r>
      <w:r>
        <w:fldChar w:fldCharType="separate"/>
      </w:r>
      <w:r>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t>6.5</w:t>
      </w:r>
      <w:r>
        <w:fldChar w:fldCharType="end"/>
      </w:r>
      <w:r>
        <w:t xml:space="preserve"> identifies aspects of future </w:t>
      </w:r>
      <w:proofErr w:type="gramStart"/>
      <w:r>
        <w:t>work which</w:t>
      </w:r>
      <w:proofErr w:type="gramEnd"/>
      <w:r>
        <w:t xml:space="preserve"> the system could assist of benefit from, and section </w:t>
      </w:r>
      <w:r>
        <w:fldChar w:fldCharType="begin"/>
      </w:r>
      <w:r>
        <w:instrText xml:space="preserve"> REF _Ref270700282 \r \h </w:instrText>
      </w:r>
      <w:r>
        <w:fldChar w:fldCharType="separate"/>
      </w:r>
      <w:r>
        <w:t>6.6</w:t>
      </w:r>
      <w:r>
        <w:fldChar w:fldCharType="end"/>
      </w:r>
      <w:r>
        <w:t xml:space="preserve"> draws some high-level conclusions about the entire project.</w:t>
      </w:r>
    </w:p>
    <w:p w:rsidR="003F7D46" w:rsidRDefault="003F7D46" w:rsidP="003F7D46">
      <w:pPr>
        <w:pStyle w:val="Heading2"/>
      </w:pPr>
      <w:bookmarkStart w:id="112" w:name="_Toc270847851"/>
      <w:bookmarkStart w:id="113" w:name="_Ref270854044"/>
      <w:r>
        <w:t>Meeting The Requirements</w:t>
      </w:r>
      <w:bookmarkEnd w:id="112"/>
      <w:bookmarkEnd w:id="113"/>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this is implemented in the form of an API, satisfying the third </w:t>
      </w:r>
      <w:r w:rsidR="0091362E">
        <w:t>requirement</w:t>
      </w:r>
      <w:r>
        <w:t>.</w:t>
      </w:r>
    </w:p>
    <w:p w:rsidR="00CE6BBE" w:rsidRDefault="00CE6BBE" w:rsidP="003F7D46">
      <w:r>
        <w:t xml:space="preserve">The basic rule format (section </w:t>
      </w:r>
      <w:r>
        <w:fldChar w:fldCharType="begin"/>
      </w:r>
      <w:r>
        <w:instrText xml:space="preserve"> REF _Ref270847351 \r \h </w:instrText>
      </w:r>
      <w:r>
        <w:fldChar w:fldCharType="separate"/>
      </w:r>
      <w:r>
        <w:t>4.5.2</w:t>
      </w:r>
      <w:r>
        <w:fldChar w:fldCharType="end"/>
      </w:r>
      <w:r>
        <w:t>) encapsulates rules in a standalone representation, completely independent of the application logic, satisfying requirement 4. Further encapsulation of the different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551D36">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4" w:name="_Toc270847852"/>
      <w:bookmarkStart w:id="115" w:name="_Ref270854081"/>
      <w:bookmarkStart w:id="116" w:name="_Ref270854444"/>
      <w:r>
        <w:t>Implementation Issues</w:t>
      </w:r>
      <w:bookmarkEnd w:id="114"/>
      <w:bookmarkEnd w:id="115"/>
      <w:bookmarkEnd w:id="116"/>
    </w:p>
    <w:p w:rsidR="0088354A" w:rsidRDefault="00551D36" w:rsidP="0088354A">
      <w:r>
        <w:t>Although one of the core requirements was to support</w:t>
      </w:r>
      <w:r w:rsidR="00CC3A1F">
        <w:t xml:space="preserve"> multiple different tagging formats, there are deficiencies in the implementation of TIMEX2 tagging, particularly when annotating sets of dates. This stems from the fundamental changes in how sets of dates are represented between TIMEX2 and TIMEX3. In particular, normalisation rules cannot set the GRANULARITY attribute on a </w:t>
      </w:r>
      <w:r w:rsidR="00CC3A1F">
        <w:lastRenderedPageBreak/>
        <w:t>TIMEX2 object. This omission was made as the TimeML standard deemed it unnecessary, as granularity is implicit in the timex value.</w:t>
      </w:r>
    </w:p>
    <w:p w:rsidR="004D738F" w:rsidRDefault="004D738F" w:rsidP="0088354A">
      <w:r>
        <w:t xml:space="preserve">Additional issues may arise if theoretical </w:t>
      </w:r>
      <w:r>
        <w:t xml:space="preserve">future </w:t>
      </w:r>
      <w:r>
        <w:t>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Similarly, as normalisation rules directly set timex attributes directly to their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representation for date values –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expansion from TempEx </w:t>
      </w:r>
      <w:sdt>
        <w:sdtPr>
          <w:id w:val="-839383217"/>
          <w:citation/>
        </w:sdtPr>
        <w:sdtContent>
          <w:r w:rsidR="003E607C">
            <w:fldChar w:fldCharType="begin"/>
          </w:r>
          <w:r w:rsidR="003E607C">
            <w:instrText xml:space="preserve"> CITATION Man00 \l 2057 </w:instrText>
          </w:r>
          <w:r w:rsidR="003E607C">
            <w:fldChar w:fldCharType="separate"/>
          </w:r>
          <w:r w:rsidR="003E607C">
            <w:rPr>
              <w:noProof/>
            </w:rPr>
            <w:t>(Mani &amp; Wilson, 2000)</w:t>
          </w:r>
          <w:r w:rsidR="003E607C">
            <w:fldChar w:fldCharType="end"/>
          </w:r>
        </w:sdtContent>
      </w:sdt>
      <w:r w:rsidR="003E607C">
        <w:t xml:space="preserve"> to GUTime’s TimeML support. These included set expressions in GUTime still using TIMEX2 annotation formats, rather than TIMEX3, which needed an almost complete rewrite of these expressions for TERNIP.</w:t>
      </w:r>
    </w:p>
    <w:p w:rsidR="003E607C" w:rsidRPr="0088354A" w:rsidRDefault="003E607C" w:rsidP="0088354A">
      <w:r>
        <w:t>A final implementation issue in TERNIP is that in some circumstances, rules will generate errors. This is particularly true when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17" w:name="_Toc270847853"/>
      <w:bookmarkStart w:id="118" w:name="_Ref270854113"/>
      <w:r>
        <w:lastRenderedPageBreak/>
        <w:t>Standard and Corpora Deficiencies</w:t>
      </w:r>
      <w:bookmarkEnd w:id="117"/>
      <w:bookmarkEnd w:id="118"/>
    </w:p>
    <w:p w:rsidR="000D1029" w:rsidRDefault="000D1029" w:rsidP="000D1029">
      <w:r>
        <w:t>The implementation of TERNIP flagged a number of issues with corpora and implemented standards.</w:t>
      </w:r>
    </w:p>
    <w:p w:rsidR="000D1029" w:rsidRDefault="000D1029" w:rsidP="000D1029">
      <w:r>
        <w:t>The TimeML annotation guidelines define the QUANT attribute as “</w:t>
      </w:r>
      <w:r>
        <w:t>generally a literal from the text that quantifies</w:t>
      </w:r>
      <w:r>
        <w:t xml:space="preserve"> </w:t>
      </w:r>
      <w:r>
        <w:t>over the expression</w:t>
      </w:r>
      <w:r>
        <w:t xml:space="preserve">” </w:t>
      </w:r>
      <w:sdt>
        <w:sdtPr>
          <w:id w:val="333351086"/>
          <w:citation/>
        </w:sdtPr>
        <w:sdtContent>
          <w:r>
            <w:fldChar w:fldCharType="begin"/>
          </w:r>
          <w:r>
            <w:instrText xml:space="preserve"> CITATION Sau \l 2057 </w:instrText>
          </w:r>
          <w:r>
            <w:fldChar w:fldCharType="separate"/>
          </w:r>
          <w:r>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w:t>
      </w:r>
      <w:r w:rsidR="006D69FD">
        <w:t xml:space="preserve">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format is 20100820 in basic format.</w:t>
      </w:r>
    </w:p>
    <w:p w:rsidR="00113D07" w:rsidRDefault="00113D07" w:rsidP="000D1029">
      <w:r>
        <w:t>Future revisions to the TimeML standard may benefit from defining a further restricted subset of valid ISO 8601 to reduce ambiguity. Another option would be to implement an abstract ISO 8601 representation (as discussed above) which tools could use in order to provide robust parsing and operations on ISO 8601 date values.</w:t>
      </w:r>
    </w:p>
    <w:p w:rsidR="00567C1E" w:rsidRDefault="00256DDA" w:rsidP="000D1029">
      <w:r>
        <w:t xml:space="preserve">A final issue that arose during implementation of TERNIP stems from the format of TimeML corpora. TimeML defines a number of valid tags in its XML schema, however the TimeBank corpus </w:t>
      </w:r>
      <w:sdt>
        <w:sdtPr>
          <w:id w:val="106008794"/>
          <w:citation/>
        </w:sdtPr>
        <w:sdtContent>
          <w:r>
            <w:fldChar w:fldCharType="begin"/>
          </w:r>
          <w:r>
            <w:instrText xml:space="preserve"> CITATION Pus06 \l 2057 </w:instrText>
          </w:r>
          <w:r>
            <w:fldChar w:fldCharType="separate"/>
          </w:r>
          <w:r>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so</w:t>
      </w:r>
      <w:r w:rsidR="00567C1E">
        <w:t xml:space="preserve"> 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p>
    <w:p w:rsidR="00567C1E" w:rsidRDefault="00CD5229" w:rsidP="000D1029">
      <w:r>
        <w:t xml:space="preserve">The AQUAINT corpus </w:t>
      </w:r>
      <w:sdt>
        <w:sdtPr>
          <w:id w:val="1762256697"/>
          <w:citation/>
        </w:sdtPr>
        <w:sdtContent>
          <w:r>
            <w:fldChar w:fldCharType="begin"/>
          </w:r>
          <w:r>
            <w:instrText xml:space="preserve">CITATION Ver08 \t  \l 2057 </w:instrText>
          </w:r>
          <w:r>
            <w:fldChar w:fldCharType="separate"/>
          </w:r>
          <w:r>
            <w:rPr>
              <w:noProof/>
            </w:rPr>
            <w:t>(Verhagen &amp; Moszkowicz, 2008)</w:t>
          </w:r>
          <w:r>
            <w:fldChar w:fldCharType="end"/>
          </w:r>
        </w:sdtContent>
      </w:sdt>
      <w:r>
        <w:t xml:space="preserve"> better implements the TimeML specification as the XML documents do not contain superfluous tags, resulting in XML </w:t>
      </w:r>
      <w:r w:rsidR="00567C1E">
        <w:t>documents that</w:t>
      </w:r>
      <w:r>
        <w:t xml:space="preserve"> are </w:t>
      </w:r>
      <w:r w:rsidR="00567C1E">
        <w:t>well defined</w:t>
      </w:r>
      <w:r>
        <w:t xml:space="preserve"> semantically.</w:t>
      </w:r>
      <w:r w:rsidR="00567C1E">
        <w:t xml:space="preserve"> As effort </w:t>
      </w:r>
      <w:r w:rsidR="00567C1E">
        <w:lastRenderedPageBreak/>
        <w:t xml:space="preserve">continues to mature the TimeBank corpus and to merge it with AQUAINT, moving towards </w:t>
      </w:r>
      <w:proofErr w:type="gramStart"/>
      <w:r w:rsidR="00567C1E">
        <w:t>well defined</w:t>
      </w:r>
      <w:proofErr w:type="gramEnd"/>
      <w:r w:rsidR="00567C1E">
        <w:t xml:space="preserve"> semantic XML should be a goal.</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w:t>
      </w:r>
      <w:bookmarkStart w:id="119" w:name="_GoBack"/>
      <w:bookmarkEnd w:id="119"/>
      <w:r>
        <w:t>mixed format documents where TimeML is just one namespace within the document.</w:t>
      </w:r>
    </w:p>
    <w:p w:rsidR="003F7D46" w:rsidRDefault="003F7D46" w:rsidP="003F7D46">
      <w:pPr>
        <w:pStyle w:val="Heading2"/>
      </w:pPr>
      <w:bookmarkStart w:id="120" w:name="_Toc270847854"/>
      <w:bookmarkStart w:id="121" w:name="_Ref270854124"/>
      <w:r>
        <w:t>System Performance</w:t>
      </w:r>
      <w:bookmarkEnd w:id="120"/>
      <w:bookmarkEnd w:id="121"/>
    </w:p>
    <w:p w:rsidR="003F7D46" w:rsidRDefault="006A16A0" w:rsidP="003F7D46">
      <w:pPr>
        <w:pStyle w:val="Heading3"/>
      </w:pPr>
      <w:r>
        <w:t>Annotation Performance</w:t>
      </w:r>
    </w:p>
    <w:p w:rsidR="006A16A0" w:rsidRDefault="006A16A0" w:rsidP="006A16A0">
      <w:pPr>
        <w:pStyle w:val="ListParagraph"/>
        <w:numPr>
          <w:ilvl w:val="0"/>
          <w:numId w:val="12"/>
        </w:numPr>
      </w:pPr>
      <w:r>
        <w:t>Differences between GUTime and TERNIP normalisation performance</w:t>
      </w:r>
      <w:r w:rsidR="0062133A">
        <w:t xml:space="preserve"> – GUTime corrupts DCT info if it’s in a DATE tag, not DATE_TIME tag – sets it to current date in form YY/MM/DD, TempEx then expects MM/DD/YY = hilarity</w:t>
      </w:r>
    </w:p>
    <w:p w:rsidR="006A16A0" w:rsidRPr="006A16A0" w:rsidRDefault="006A16A0" w:rsidP="006A16A0">
      <w:pPr>
        <w:pStyle w:val="ListParagraph"/>
        <w:numPr>
          <w:ilvl w:val="0"/>
          <w:numId w:val="12"/>
        </w:numPr>
      </w:pPr>
      <w:r>
        <w:t>Why performance of GUTime doesn’t match</w:t>
      </w:r>
    </w:p>
    <w:p w:rsidR="003F7D46" w:rsidRDefault="003F7D46" w:rsidP="003F7D46">
      <w:pPr>
        <w:pStyle w:val="Heading3"/>
      </w:pPr>
      <w:r>
        <w:t>Speed and Throughput</w:t>
      </w:r>
      <w:r w:rsidRPr="003F7D46">
        <w:t xml:space="preserve"> </w:t>
      </w:r>
    </w:p>
    <w:p w:rsidR="003F7D46" w:rsidRDefault="003F7D46" w:rsidP="003F7D46">
      <w:pPr>
        <w:pStyle w:val="ListParagraph"/>
        <w:numPr>
          <w:ilvl w:val="0"/>
          <w:numId w:val="5"/>
        </w:numPr>
      </w:pPr>
      <w:r>
        <w:t>Overhead of script vs. API, etc. – more likely NLTK</w:t>
      </w:r>
    </w:p>
    <w:p w:rsidR="003F7D46" w:rsidRPr="003F7D46" w:rsidRDefault="003F7D46" w:rsidP="003F7D46">
      <w:pPr>
        <w:pStyle w:val="Heading2"/>
      </w:pPr>
      <w:bookmarkStart w:id="122" w:name="_Ref270700292"/>
      <w:bookmarkStart w:id="123" w:name="_Toc270847855"/>
      <w:r>
        <w:t>Future Work</w:t>
      </w:r>
      <w:bookmarkEnd w:id="122"/>
      <w:bookmarkEnd w:id="123"/>
    </w:p>
    <w:p w:rsidR="001E3E3B" w:rsidRDefault="007B17BA" w:rsidP="003F7D46">
      <w:pPr>
        <w:pStyle w:val="ListParagraph"/>
        <w:numPr>
          <w:ilvl w:val="0"/>
          <w:numId w:val="5"/>
        </w:numPr>
      </w:pPr>
      <w:r>
        <w:t>Recognition engine could be easily changed to be an event recogniser using rules</w:t>
      </w:r>
    </w:p>
    <w:p w:rsidR="003F7D46" w:rsidRDefault="003F7D46" w:rsidP="003F7D46">
      <w:pPr>
        <w:pStyle w:val="ListParagraph"/>
        <w:numPr>
          <w:ilvl w:val="0"/>
          <w:numId w:val="5"/>
        </w:numPr>
      </w:pPr>
      <w:r>
        <w:t xml:space="preserve">More recognition components (e.g., machine learning, </w:t>
      </w:r>
      <w:proofErr w:type="spellStart"/>
      <w:r>
        <w:t>etc</w:t>
      </w:r>
      <w:proofErr w:type="spellEnd"/>
      <w:r>
        <w:t>)</w:t>
      </w:r>
    </w:p>
    <w:p w:rsidR="003F7D46" w:rsidRDefault="003F7D46" w:rsidP="003F7D46">
      <w:pPr>
        <w:pStyle w:val="Heading2"/>
      </w:pPr>
      <w:bookmarkStart w:id="124" w:name="_Ref270700282"/>
      <w:bookmarkStart w:id="125" w:name="_Toc270847856"/>
      <w:r>
        <w:t>Conclusions</w:t>
      </w:r>
      <w:bookmarkEnd w:id="124"/>
      <w:bookmarkEnd w:id="125"/>
    </w:p>
    <w:p w:rsidR="003F7D46" w:rsidRPr="003F7D46" w:rsidRDefault="003F7D46" w:rsidP="003F7D46">
      <w:r>
        <w:t>…</w:t>
      </w:r>
    </w:p>
    <w:p w:rsidR="007B17BA" w:rsidRDefault="007B17BA" w:rsidP="001E3E3B">
      <w:pPr>
        <w:sectPr w:rsidR="007B17BA" w:rsidSect="00060A84">
          <w:headerReference w:type="default" r:id="rId31"/>
          <w:pgSz w:w="11907" w:h="16840" w:code="9"/>
          <w:pgMar w:top="1134" w:right="1418" w:bottom="1701" w:left="2098" w:header="709" w:footer="709" w:gutter="0"/>
          <w:cols w:space="708"/>
          <w:titlePg/>
          <w:docGrid w:linePitch="360"/>
        </w:sectPr>
      </w:pPr>
    </w:p>
    <w:bookmarkStart w:id="126" w:name="_Toc270847857" w:displacedByCustomXml="next"/>
    <w:bookmarkStart w:id="127" w:name="_Ref270598284" w:displacedByCustomXml="next"/>
    <w:bookmarkStart w:id="128" w:name="_Ref270598289" w:displacedByCustomXml="next"/>
    <w:sdt>
      <w:sdtPr>
        <w:rPr>
          <w:smallCaps w:val="0"/>
          <w:spacing w:val="0"/>
          <w:sz w:val="24"/>
          <w:szCs w:val="20"/>
        </w:rPr>
        <w:id w:val="494819507"/>
        <w:docPartObj>
          <w:docPartGallery w:val="Bibliographies"/>
          <w:docPartUnique/>
        </w:docPartObj>
      </w:sdtPr>
      <w:sdtContent>
        <w:bookmarkStart w:id="129" w:name="_Toc261719277" w:displacedByCustomXml="prev"/>
        <w:bookmarkStart w:id="130" w:name="_Toc261719354" w:displacedByCustomXml="prev"/>
        <w:bookmarkStart w:id="131" w:name="_Toc261719408" w:displacedByCustomXml="prev"/>
        <w:p w:rsidR="00AA1B5D" w:rsidRDefault="00AA1B5D">
          <w:pPr>
            <w:pStyle w:val="Heading1"/>
          </w:pPr>
          <w:r>
            <w:t>Bibliography</w:t>
          </w:r>
          <w:bookmarkEnd w:id="128"/>
          <w:bookmarkEnd w:id="127"/>
          <w:bookmarkEnd w:id="126"/>
          <w:bookmarkEnd w:id="131"/>
          <w:bookmarkEnd w:id="130"/>
          <w:bookmarkEnd w:id="129"/>
        </w:p>
        <w:sdt>
          <w:sdtPr>
            <w:id w:val="111145805"/>
            <w:bibliography/>
          </w:sdtPr>
          <w:sdtContent>
            <w:p w:rsidR="009000AA" w:rsidRDefault="00B225E2" w:rsidP="009000AA">
              <w:pPr>
                <w:pStyle w:val="Bibliography"/>
                <w:ind w:left="720" w:hanging="720"/>
                <w:rPr>
                  <w:noProof/>
                </w:rPr>
              </w:pPr>
              <w:r>
                <w:fldChar w:fldCharType="begin"/>
              </w:r>
              <w:r w:rsidR="00AA1B5D">
                <w:instrText xml:space="preserve"> BIBLIOGRAPHY </w:instrText>
              </w:r>
              <w:r>
                <w:fldChar w:fldCharType="separate"/>
              </w:r>
              <w:r w:rsidR="009000AA">
                <w:rPr>
                  <w:noProof/>
                </w:rPr>
                <w:t xml:space="preserve">Ahn, D., Adafre, S. F., &amp; de Rijke, M. (2005). Recognizing and Interpreting Temporal Expressions in Open Domain Texts. In S. N. Artëmov, H. Barringer, A. S. d'Avila Garcez, L. C. Lamb, &amp; J. Woods (Eds.), </w:t>
              </w:r>
              <w:r w:rsidR="009000AA">
                <w:rPr>
                  <w:i/>
                  <w:iCs/>
                  <w:noProof/>
                </w:rPr>
                <w:t>We Will Show Them: Essays in Honour of Dov Gabbay</w:t>
              </w:r>
              <w:r w:rsidR="009000AA">
                <w:rPr>
                  <w:noProof/>
                </w:rPr>
                <w:t xml:space="preserve"> (Vol. 1, pp. 31-50). College Publications.</w:t>
              </w:r>
            </w:p>
            <w:p w:rsidR="009000AA" w:rsidRDefault="009000AA" w:rsidP="009000A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9000AA" w:rsidRDefault="009000AA" w:rsidP="009000AA">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9000AA" w:rsidRDefault="009000AA" w:rsidP="009000A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9000AA" w:rsidRDefault="009000AA" w:rsidP="009000A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9000AA" w:rsidRDefault="009000AA" w:rsidP="009000A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9000AA" w:rsidRDefault="009000AA" w:rsidP="009000A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9000AA" w:rsidRDefault="009000AA" w:rsidP="009000A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9000AA" w:rsidRDefault="009000AA" w:rsidP="009000A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9000AA" w:rsidRDefault="009000AA" w:rsidP="009000A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9000AA" w:rsidRDefault="009000AA" w:rsidP="009000A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9000AA" w:rsidRDefault="009000AA" w:rsidP="009000A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9000AA" w:rsidRDefault="009000AA" w:rsidP="009000A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9000AA" w:rsidRDefault="009000AA" w:rsidP="009000A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9000AA" w:rsidRDefault="009000AA" w:rsidP="009000A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9000AA" w:rsidRDefault="009000AA" w:rsidP="009000A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9000AA" w:rsidRDefault="009000AA" w:rsidP="009000A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9000AA" w:rsidRDefault="009000AA" w:rsidP="009000A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9000AA" w:rsidRDefault="009000AA" w:rsidP="009000A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9000AA" w:rsidRDefault="009000AA" w:rsidP="009000AA">
              <w:pPr>
                <w:pStyle w:val="Bibliography"/>
                <w:ind w:left="720" w:hanging="720"/>
                <w:rPr>
                  <w:noProof/>
                </w:rPr>
              </w:pPr>
              <w:r>
                <w:rPr>
                  <w:noProof/>
                </w:rPr>
                <w:t>Pustejovsky, J., Verhagen, M., Sauri, R., Littman, J., Gaizauskas, R., Katz, G., et al. (2006, April 17). TimeBank 1.2. Philadelphia: Linguistic Data Consortium.</w:t>
              </w:r>
            </w:p>
            <w:p w:rsidR="009000AA" w:rsidRDefault="009000AA" w:rsidP="009000A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9000AA" w:rsidRDefault="009000AA" w:rsidP="009000A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9000AA" w:rsidRDefault="009000AA" w:rsidP="009000A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9000AA" w:rsidRDefault="009000AA" w:rsidP="009000A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9000AA" w:rsidRDefault="009000AA" w:rsidP="009000AA">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9000AA" w:rsidRDefault="009000AA" w:rsidP="009000AA">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9000AA" w:rsidRDefault="009000AA" w:rsidP="009000AA">
              <w:pPr>
                <w:pStyle w:val="Bibliography"/>
                <w:ind w:left="720" w:hanging="720"/>
                <w:rPr>
                  <w:noProof/>
                </w:rPr>
              </w:pPr>
              <w:r>
                <w:rPr>
                  <w:noProof/>
                </w:rPr>
                <w:t>Verhagen, M., &amp; Moszkowicz, J. (2008, January). AQUAINT TimeML 1.0 Corpus. Brandeis University.</w:t>
              </w:r>
            </w:p>
            <w:p w:rsidR="009000AA" w:rsidRDefault="009000AA" w:rsidP="009000A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9000AA">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F91" w:rsidRDefault="00574F91" w:rsidP="008873C3">
      <w:pPr>
        <w:spacing w:after="0" w:line="240" w:lineRule="auto"/>
      </w:pPr>
      <w:r>
        <w:separator/>
      </w:r>
    </w:p>
    <w:p w:rsidR="00574F91" w:rsidRDefault="00574F91"/>
  </w:endnote>
  <w:endnote w:type="continuationSeparator" w:id="0">
    <w:p w:rsidR="00574F91" w:rsidRDefault="00574F91" w:rsidP="008873C3">
      <w:pPr>
        <w:spacing w:after="0" w:line="240" w:lineRule="auto"/>
      </w:pPr>
      <w:r>
        <w:continuationSeparator/>
      </w:r>
    </w:p>
    <w:p w:rsidR="00574F91" w:rsidRDefault="00574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9000AA" w:rsidRDefault="009000AA"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9000AA" w:rsidRDefault="009000AA">
        <w:pPr>
          <w:pStyle w:val="Footer"/>
          <w:jc w:val="center"/>
        </w:pPr>
      </w:p>
    </w:sdtContent>
  </w:sdt>
  <w:p w:rsidR="009000AA" w:rsidRDefault="009000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Default="009000AA"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9000AA" w:rsidRDefault="009000AA" w:rsidP="000E557A">
        <w:pPr>
          <w:pStyle w:val="Footer"/>
          <w:jc w:val="center"/>
        </w:pPr>
        <w:r>
          <w:fldChar w:fldCharType="begin"/>
        </w:r>
        <w:r>
          <w:instrText xml:space="preserve"> PAGE   \* MERGEFORMAT </w:instrText>
        </w:r>
        <w:r>
          <w:fldChar w:fldCharType="separate"/>
        </w:r>
        <w:r w:rsidR="000D1029">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9000AA" w:rsidRDefault="009000AA" w:rsidP="00D26777">
        <w:pPr>
          <w:pStyle w:val="Footer"/>
          <w:jc w:val="center"/>
        </w:pPr>
        <w:r>
          <w:fldChar w:fldCharType="begin"/>
        </w:r>
        <w:r>
          <w:instrText xml:space="preserve"> PAGE   \* MERGEFORMAT </w:instrText>
        </w:r>
        <w:r>
          <w:fldChar w:fldCharType="separate"/>
        </w:r>
        <w:r w:rsidR="000D1029">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9000AA" w:rsidRDefault="009000AA"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9000AA" w:rsidRDefault="009000AA" w:rsidP="000E557A">
        <w:pPr>
          <w:pStyle w:val="Footer"/>
          <w:jc w:val="center"/>
        </w:pPr>
        <w:r>
          <w:fldChar w:fldCharType="begin"/>
        </w:r>
        <w:r>
          <w:instrText xml:space="preserve"> PAGE   \* MERGEFORMAT </w:instrText>
        </w:r>
        <w:r>
          <w:fldChar w:fldCharType="separate"/>
        </w:r>
        <w:r w:rsidR="00567C1E">
          <w:rPr>
            <w:noProof/>
          </w:rPr>
          <w:t>43</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9000AA" w:rsidRDefault="009000AA">
        <w:pPr>
          <w:pStyle w:val="Footer"/>
          <w:jc w:val="center"/>
        </w:pPr>
        <w:r>
          <w:fldChar w:fldCharType="begin"/>
        </w:r>
        <w:r>
          <w:instrText xml:space="preserve"> PAGE   \* MERGEFORMAT </w:instrText>
        </w:r>
        <w:r>
          <w:fldChar w:fldCharType="separate"/>
        </w:r>
        <w:r w:rsidR="006D69FD">
          <w:rPr>
            <w:noProof/>
          </w:rPr>
          <w:t>45</w:t>
        </w:r>
        <w:r>
          <w:rPr>
            <w:noProof/>
          </w:rPr>
          <w:fldChar w:fldCharType="end"/>
        </w:r>
      </w:p>
    </w:sdtContent>
  </w:sdt>
  <w:p w:rsidR="009000AA" w:rsidRDefault="009000A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Content>
      <w:p w:rsidR="009000AA" w:rsidRDefault="009000AA" w:rsidP="000E557A">
        <w:pPr>
          <w:pStyle w:val="Footer"/>
          <w:jc w:val="center"/>
        </w:pPr>
        <w:r>
          <w:fldChar w:fldCharType="begin"/>
        </w:r>
        <w:r>
          <w:instrText xml:space="preserve"> PAGE   \* MERGEFORMAT </w:instrText>
        </w:r>
        <w:r>
          <w:fldChar w:fldCharType="separate"/>
        </w:r>
        <w:r w:rsidR="00B12907">
          <w:rPr>
            <w:noProof/>
          </w:rPr>
          <w:t>44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F91" w:rsidRDefault="00574F91" w:rsidP="008873C3">
      <w:pPr>
        <w:spacing w:after="0" w:line="240" w:lineRule="auto"/>
      </w:pPr>
      <w:r>
        <w:separator/>
      </w:r>
    </w:p>
    <w:p w:rsidR="00574F91" w:rsidRDefault="00574F91"/>
  </w:footnote>
  <w:footnote w:type="continuationSeparator" w:id="0">
    <w:p w:rsidR="00574F91" w:rsidRDefault="00574F91" w:rsidP="008873C3">
      <w:pPr>
        <w:spacing w:after="0" w:line="240" w:lineRule="auto"/>
      </w:pPr>
      <w:r>
        <w:continuationSeparator/>
      </w:r>
    </w:p>
    <w:p w:rsidR="00574F91" w:rsidRDefault="00574F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Default="009000AA">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Default="009000AA"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Default="009000AA"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243A3B" w:rsidRDefault="009000AA"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0AA" w:rsidRPr="00060A84" w:rsidRDefault="009000AA"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54D1"/>
    <w:rsid w:val="00035856"/>
    <w:rsid w:val="0004313E"/>
    <w:rsid w:val="00045EBC"/>
    <w:rsid w:val="000468C6"/>
    <w:rsid w:val="0004720A"/>
    <w:rsid w:val="00047827"/>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6193"/>
    <w:rsid w:val="00076B91"/>
    <w:rsid w:val="00082559"/>
    <w:rsid w:val="000840FB"/>
    <w:rsid w:val="00085F93"/>
    <w:rsid w:val="000866E6"/>
    <w:rsid w:val="00086D0E"/>
    <w:rsid w:val="00090772"/>
    <w:rsid w:val="00090ADF"/>
    <w:rsid w:val="00090CEC"/>
    <w:rsid w:val="0009156E"/>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F74"/>
    <w:rsid w:val="0026632B"/>
    <w:rsid w:val="0027207E"/>
    <w:rsid w:val="002722ED"/>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B11"/>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07AD8"/>
    <w:rsid w:val="0051071B"/>
    <w:rsid w:val="00511AF5"/>
    <w:rsid w:val="00512B1D"/>
    <w:rsid w:val="00512E0C"/>
    <w:rsid w:val="00513711"/>
    <w:rsid w:val="00513DD5"/>
    <w:rsid w:val="00514A07"/>
    <w:rsid w:val="00514C8C"/>
    <w:rsid w:val="00515242"/>
    <w:rsid w:val="00516C7C"/>
    <w:rsid w:val="005175C7"/>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2760"/>
    <w:rsid w:val="00543F4A"/>
    <w:rsid w:val="00545463"/>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304A"/>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42D8"/>
    <w:rsid w:val="00C54559"/>
    <w:rsid w:val="00C54ED6"/>
    <w:rsid w:val="00C5657C"/>
    <w:rsid w:val="00C573DD"/>
    <w:rsid w:val="00C576A2"/>
    <w:rsid w:val="00C603C9"/>
    <w:rsid w:val="00C60A8D"/>
    <w:rsid w:val="00C64D2E"/>
    <w:rsid w:val="00C64E69"/>
    <w:rsid w:val="00C67270"/>
    <w:rsid w:val="00C674F5"/>
    <w:rsid w:val="00C73071"/>
    <w:rsid w:val="00C7321E"/>
    <w:rsid w:val="00C74CFD"/>
    <w:rsid w:val="00C75CF2"/>
    <w:rsid w:val="00C76323"/>
    <w:rsid w:val="00C839A8"/>
    <w:rsid w:val="00C8406D"/>
    <w:rsid w:val="00C85222"/>
    <w:rsid w:val="00C864FC"/>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0F0D"/>
    <w:rsid w:val="00EA108D"/>
    <w:rsid w:val="00EA3C2D"/>
    <w:rsid w:val="00EA4A36"/>
    <w:rsid w:val="00EA60BD"/>
    <w:rsid w:val="00EB31AF"/>
    <w:rsid w:val="00EB5DC6"/>
    <w:rsid w:val="00EB6681"/>
    <w:rsid w:val="00EB67E1"/>
    <w:rsid w:val="00EB6EAC"/>
    <w:rsid w:val="00EC03C5"/>
    <w:rsid w:val="00EC0404"/>
    <w:rsid w:val="00EC17EE"/>
    <w:rsid w:val="00EC2779"/>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8A93E-A124-4FF8-A3D5-D300F945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53</Pages>
  <Words>17597</Words>
  <Characters>100308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117670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407</cp:revision>
  <cp:lastPrinted>2010-05-13T14:30:00Z</cp:lastPrinted>
  <dcterms:created xsi:type="dcterms:W3CDTF">2010-08-18T14:38:00Z</dcterms:created>
  <dcterms:modified xsi:type="dcterms:W3CDTF">2010-08-29T14:47:00Z</dcterms:modified>
</cp:coreProperties>
</file>