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jc w:val="center"/>
      </w:pPr>
      <w:r>
        <w:rPr>
          <w:b/>
          <w:bCs/>
          <w:color w:val="1F4E5F"/>
          <w:sz w:val="64"/>
          <w:szCs w:val="64"/>
        </w:rPr>
        <w:t xml:space="preserve">MarketMind</w:t>
      </w:r>
    </w:p>
    <w:p>
      <w:pPr>
        <w:spacing w:after="200"/>
        <w:jc w:val="center"/>
      </w:pPr>
      <w:r>
        <w:rPr>
          <w:i/>
          <w:iCs/>
          <w:color w:val="444444"/>
          <w:sz w:val="28"/>
          <w:szCs w:val="28"/>
        </w:rPr>
        <w:t xml:space="preserve">Query-Driven Market Intelligence Platform with Causal Explanation Engine</w:t>
      </w:r>
    </w:p>
    <w:p>
      <w:pPr>
        <w:spacing w:before="100"/>
        <w:jc w:val="center"/>
      </w:pPr>
      <w:r>
        <w:rPr>
          <w:sz w:val="22"/>
          <w:szCs w:val="22"/>
        </w:rPr>
        <w:t xml:space="preserve">Academic Mega Project Proposal — 5 Credits (Revision 2: Price + Sentiment Fusion Architecture)</w:t>
      </w:r>
    </w:p>
    <w:p>
      <w:pPr>
        <w:jc w:val="center"/>
      </w:pPr>
      <w:r>
        <w:rPr>
          <w:sz w:val="22"/>
          <w:szCs w:val="22"/>
        </w:rPr>
        <w:t xml:space="preserve">Department of Computer Science and Engineering</w:t>
      </w:r>
    </w:p>
    <w:p>
      <w:pPr>
        <w:spacing w:after="500"/>
        <w:jc w:val="center"/>
      </w:pPr>
      <w:r>
        <w:rPr>
          <w:sz w:val="22"/>
          <w:szCs w:val="22"/>
        </w:rPr>
        <w:t xml:space="preserve">Walchand College of Engineering, Sangli</w:t>
      </w:r>
    </w:p>
    <w:p>
      <w:r>
        <w:br w:type="page"/>
      </w:r>
    </w:p>
    <w:p>
      <w:pPr>
        <w:pStyle w:val="Heading1"/>
        <w:spacing w:after="160" w:before="360"/>
      </w:pPr>
      <w:r>
        <w:t xml:space="preserve">Abstract</w:t>
      </w:r>
    </w:p>
    <w:p>
      <w:pPr>
        <w:spacing w:after="160" w:line="300"/>
      </w:pPr>
      <w:r>
        <w:t xml:space="preserve">MarketMind is a query-driven financial market intelligence platform that explains market movements with grounded, evidence-cited causes rather than generic labels like “bear run.” This revision integrates a dual-model machine learning architecture: a fine-tuned BERT-based model that analyzes market sentiment and causal category from news/social text, and a price-pattern classifier trained on 2–5 years of OHLCV data that detects statistically unusual regimes and matches them against historical analogs. These two signals are cross-validated against each other — agreement or divergence between price behavior and market sentiment becomes a first-class signal — before being fed into a time-aligned Retrieval-Augmented Generation (RAG) pipeline that synthesizes the actual “why” from real-world news, citing sources and explicitly abstaining when evidence is weak. The platform is scoped for a four-person team across a 5-credit mega project, with clear module ownership and a rich set of side features layered on top of the core engine.</w:t>
      </w:r>
    </w:p>
    <w:p>
      <w:pPr>
        <w:pStyle w:val="Heading1"/>
        <w:spacing w:after="160" w:before="360"/>
      </w:pPr>
      <w:r>
        <w:t xml:space="preserve">1. Problem Statement</w:t>
      </w:r>
    </w:p>
    <w:p>
      <w:pPr>
        <w:spacing w:after="160" w:line="300"/>
      </w:pPr>
      <w:r>
        <w:t xml:space="preserve">Retail investors and finance students have abundant access to stock price data but very little accessible causal context. Existing tools report *what* happened (price charts, percentage change) but not *why*, in a specific, evidence-backed way. A user is left to manually search news and judge relevance and timing themselves. Critically, price data alone can never answer “why” — it only records the effect, not the cause, which lives in external text (news, policy, earnings, geopolitical events). MarketMind's core design principle, reflected throughout this document, is that price behavior and market sentiment are used to characterize and corroborate a movement, while the actual causal explanation is always grounded in retrieved real-world text — no component in this system claims to predict or explain a cause purely from numeric price history.</w:t>
      </w:r>
    </w:p>
    <w:p>
      <w:pPr>
        <w:pStyle w:val="Heading1"/>
        <w:spacing w:after="160" w:before="360"/>
      </w:pPr>
      <w:r>
        <w:t xml:space="preserve">2. Objectives</w:t>
      </w:r>
    </w:p>
    <w:p>
      <w:pPr>
        <w:pStyle w:val="ListParagraph"/>
        <w:numPr>
          <w:ilvl w:val="0"/>
          <w:numId w:val="2"/>
        </w:numPr>
        <w:spacing w:after="80"/>
      </w:pPr>
      <w:r>
        <w:t xml:space="preserve">Build a data pipeline ingesting daily price/NAV data, financial news, and social sentiment text for a curated NSE stock/fund universe.</w:t>
      </w:r>
    </w:p>
    <w:p>
      <w:pPr>
        <w:pStyle w:val="ListParagraph"/>
        <w:numPr>
          <w:ilvl w:val="0"/>
          <w:numId w:val="2"/>
        </w:numPr>
        <w:spacing w:after="80"/>
      </w:pPr>
      <w:r>
        <w:t xml:space="preserve">Train a price-pattern classifier on 2–5 years of OHLCV data per stock to detect regime (bullish/bearish/consolidating) and match against historical analogs.</w:t>
      </w:r>
    </w:p>
    <w:p>
      <w:pPr>
        <w:pStyle w:val="ListParagraph"/>
        <w:numPr>
          <w:ilvl w:val="0"/>
          <w:numId w:val="2"/>
        </w:numPr>
        <w:spacing w:after="80"/>
      </w:pPr>
      <w:r>
        <w:t xml:space="preserve">Fine-tune a BERT-based model on financial news/social text for sentiment classification and causal-category tagging.</w:t>
      </w:r>
    </w:p>
    <w:p>
      <w:pPr>
        <w:pStyle w:val="ListParagraph"/>
        <w:numPr>
          <w:ilvl w:val="0"/>
          <w:numId w:val="2"/>
        </w:numPr>
        <w:spacing w:after="80"/>
      </w:pPr>
      <w:r>
        <w:t xml:space="preserve">Design a signal-agreement layer that cross-validates the price model's regime output against the BERT model's sentiment output, surfacing alignment or divergence as a confidence signal.</w:t>
      </w:r>
    </w:p>
    <w:p>
      <w:pPr>
        <w:pStyle w:val="ListParagraph"/>
        <w:numPr>
          <w:ilvl w:val="0"/>
          <w:numId w:val="2"/>
        </w:numPr>
        <w:spacing w:after="80"/>
      </w:pPr>
      <w:r>
        <w:t xml:space="preserve">Build a time-aligned RAG pipeline that retrieves only news predating a detected move, preventing hindsight bias, and synthesizes a cited, evidence-ranked causal explanation.</w:t>
      </w:r>
    </w:p>
    <w:p>
      <w:pPr>
        <w:pStyle w:val="ListParagraph"/>
        <w:numPr>
          <w:ilvl w:val="0"/>
          <w:numId w:val="2"/>
        </w:numPr>
        <w:spacing w:after="80"/>
      </w:pPr>
      <w:r>
        <w:t xml:space="preserve">Support comparative/peer queries across multiple stocks, and layer in the side-feature set (Section 8) for portfolio alerts, event calendars, and explainability.</w:t>
      </w:r>
    </w:p>
    <w:p>
      <w:pPr>
        <w:pStyle w:val="ListParagraph"/>
        <w:numPr>
          <w:ilvl w:val="0"/>
          <w:numId w:val="2"/>
        </w:numPr>
        <w:spacing w:after="80"/>
      </w:pPr>
      <w:r>
        <w:t xml:space="preserve">Build a rigorous evaluation framework: backtested historical events, human-rated rubric, and ML model metrics (accuracy/F1) reported transparently.</w:t>
      </w:r>
    </w:p>
    <w:p>
      <w:pPr>
        <w:pStyle w:val="Heading1"/>
        <w:spacing w:after="160" w:before="360"/>
      </w:pPr>
      <w:r>
        <w:t xml:space="preserve">3. Scope and Assumptions</w:t>
      </w:r>
    </w:p>
    <w:p>
      <w:pPr>
        <w:spacing w:after="120" w:line="300"/>
      </w:pPr>
      <w:r>
        <w:rPr>
          <w:b/>
          <w:bCs/>
        </w:rPr>
        <w:t xml:space="preserve">In scope: </w:t>
      </w:r>
      <w:r>
        <w:t xml:space="preserve">curated universe of 20–25 liquid NSE-listed stocks across 4–5 sectors, plus a small mutual fund set; daily end-of-day data (2–5 years historical depth for model training); English-language news/social text; single-stock and small multi-stock comparison queries.</w:t>
      </w:r>
    </w:p>
    <w:p>
      <w:pPr>
        <w:spacing w:after="120" w:line="300"/>
      </w:pPr>
      <w:r>
        <w:rPr>
          <w:b/>
          <w:bCs/>
        </w:rPr>
        <w:t xml:space="preserve">Out of scope: </w:t>
      </w:r>
      <w:r>
        <w:t xml:space="preserve">real-time/intraday alerting, options/derivatives, guaranteed price-direction prediction (explicitly excluded — see Section 5), regional-language text, and any framing as investment advice.</w:t>
      </w:r>
    </w:p>
    <w:p>
      <w:pPr>
        <w:spacing w:after="120" w:line="300"/>
      </w:pPr>
      <w:r>
        <w:rPr>
          <w:b/>
          <w:bCs/>
        </w:rPr>
        <w:t xml:space="preserve">Key honesty principle carried through this document: </w:t>
      </w:r>
      <w:r>
        <w:t xml:space="preserve">the system predicts neither future prices nor causes from price data alone. It classifies regime/sentiment, cross-validates the two, retrieves grounded evidence, and explicitly abstains when evidence is thin. This should be stated in the UI itself, not just the report.</w:t>
      </w:r>
    </w:p>
    <w:p>
      <w:pPr>
        <w:pStyle w:val="Heading1"/>
        <w:spacing w:after="160" w:before="360"/>
      </w:pPr>
      <w:r>
        <w:t xml:space="preserve">4. System Architecture</w:t>
      </w:r>
    </w:p>
    <w:p>
      <w:pPr>
        <w:spacing w:after="160" w:line="300"/>
      </w:pPr>
      <w:r>
        <w:t xml:space="preserve">Four layers: Ingestion (Python) → Storage (PostgreSQL + pgvector) → Reasoning Layer (FastAPI: price-pattern model + BERT sentiment model + signal-agreement logic + RAG causal synthesis) → API/Orchestration (Spring Boot) → Frontend (React + Vite + TypeScript).</w:t>
      </w:r>
    </w:p>
    <w:p>
      <w:pPr>
        <w:pStyle w:val="Heading3"/>
        <w:spacing w:after="100" w:before="200"/>
      </w:pPr>
      <w:r>
        <w:t xml:space="preserve">4.1 End-to-End Query Flow</w:t>
      </w:r>
    </w:p>
    <w:p>
      <w:pPr>
        <w:pStyle w:val="ListParagraph"/>
        <w:numPr>
          <w:ilvl w:val="0"/>
          <w:numId w:val="2"/>
        </w:numPr>
        <w:spacing w:after="80"/>
      </w:pPr>
      <w:r>
        <w:t xml:space="preserve">User submits query (e.g., “Why is Stock X falling?”).</w:t>
      </w:r>
    </w:p>
    <w:p>
      <w:pPr>
        <w:pStyle w:val="ListParagraph"/>
        <w:numPr>
          <w:ilvl w:val="0"/>
          <w:numId w:val="2"/>
        </w:numPr>
        <w:spacing w:after="80"/>
      </w:pPr>
      <w:r>
        <w:t xml:space="preserve">Spring Boot parses intent (explanation vs comparison vs plain trend).</w:t>
      </w:r>
    </w:p>
    <w:p>
      <w:pPr>
        <w:pStyle w:val="ListParagraph"/>
        <w:numPr>
          <w:ilvl w:val="0"/>
          <w:numId w:val="2"/>
        </w:numPr>
        <w:spacing w:after="80"/>
      </w:pPr>
      <w:r>
        <w:t xml:space="preserve">Price-pattern classifier scores the current regime for X and flags the anomalous date window (statistical anomaly detection, Section 6).</w:t>
      </w:r>
    </w:p>
    <w:p>
      <w:pPr>
        <w:pStyle w:val="ListParagraph"/>
        <w:numPr>
          <w:ilvl w:val="0"/>
          <w:numId w:val="2"/>
        </w:numPr>
        <w:spacing w:after="80"/>
      </w:pPr>
      <w:r>
        <w:t xml:space="preserve">BERT sentiment model scores news/social text in and before that window for sentiment + causal category (Section 7).</w:t>
      </w:r>
    </w:p>
    <w:p>
      <w:pPr>
        <w:pStyle w:val="ListParagraph"/>
        <w:numPr>
          <w:ilvl w:val="0"/>
          <w:numId w:val="2"/>
        </w:numPr>
        <w:spacing w:after="80"/>
      </w:pPr>
      <w:r>
        <w:t xml:space="preserve">Signal-agreement layer compares price regime vs sentiment direction — aligned, diverging, or insufficient signal (Section 7.3).</w:t>
      </w:r>
    </w:p>
    <w:p>
      <w:pPr>
        <w:pStyle w:val="ListParagraph"/>
        <w:numPr>
          <w:ilvl w:val="0"/>
          <w:numId w:val="2"/>
        </w:numPr>
        <w:spacing w:after="80"/>
      </w:pPr>
      <w:r>
        <w:t xml:space="preserve">RAG retrieval fetches time-filtered, entity-matched news documents; LLM synthesis produces a ranked, cited explanation informed by the price+sentiment context, or abstains if evidence is weak.</w:t>
      </w:r>
    </w:p>
    <w:p>
      <w:pPr>
        <w:pStyle w:val="ListParagraph"/>
        <w:numPr>
          <w:ilvl w:val="0"/>
          <w:numId w:val="2"/>
        </w:numPr>
        <w:spacing w:after="80"/>
      </w:pPr>
      <w:r>
        <w:t xml:space="preserve">Frontend renders: price chart with anomaly window, sentiment trend line, agreement badge, and the cited explanation panel.</w:t>
      </w:r>
    </w:p>
    <w:p>
      <w:pPr>
        <w:pStyle w:val="Heading1"/>
        <w:spacing w:after="160" w:before="360"/>
      </w:pPr>
      <w:r>
        <w:t xml:space="preserve">5. Module Breakdown (Team of 4)</w:t>
      </w:r>
    </w:p>
    <w:p>
      <w:pPr>
        <w:spacing w:after="160" w:line="300"/>
      </w:pPr>
      <w:r>
        <w:t xml:space="preserve">Five workstreams distributed across four members; the ML work (price model + BERT) forms two distinct sub-tracks under Module B, suited to being split between two teammates while the other two own data/backend and frontend/evaluation respectively.</w:t>
      </w:r>
    </w:p>
    <w:p>
      <w:pPr>
        <w:pStyle w:val="Heading2"/>
        <w:spacing w:after="120" w:before="260"/>
      </w:pPr>
      <w:r>
        <w:t xml:space="preserve">Module A — Data Engineering and Ingestion</w:t>
      </w:r>
    </w:p>
    <w:p>
      <w:pPr>
        <w:pStyle w:val="ListParagraph"/>
        <w:numPr>
          <w:ilvl w:val="0"/>
          <w:numId w:val="2"/>
        </w:numPr>
        <w:spacing w:after="80"/>
      </w:pPr>
      <w:r>
        <w:t xml:space="preserve">Price/NAV fetchers: NSE bhavcopy (Security-wise Archives / UDiFF format) or yfinance; mutual fund NAV via mfapi.in.</w:t>
      </w:r>
    </w:p>
    <w:p>
      <w:pPr>
        <w:pStyle w:val="ListParagraph"/>
        <w:numPr>
          <w:ilvl w:val="0"/>
          <w:numId w:val="2"/>
        </w:numPr>
        <w:spacing w:after="80"/>
      </w:pPr>
      <w:r>
        <w:t xml:space="preserve">News/social scrapers: RSS/NewsAPI feeds, respecting each source's terms of service.</w:t>
      </w:r>
    </w:p>
    <w:p>
      <w:pPr>
        <w:pStyle w:val="ListParagraph"/>
        <w:numPr>
          <w:ilvl w:val="0"/>
          <w:numId w:val="2"/>
        </w:numPr>
        <w:spacing w:after="80"/>
      </w:pPr>
      <w:r>
        <w:t xml:space="preserve">Entity/sector mapping table: company → sector → dependencies (raw materials, export markets, key clients).</w:t>
      </w:r>
    </w:p>
    <w:p>
      <w:pPr>
        <w:pStyle w:val="ListParagraph"/>
        <w:numPr>
          <w:ilvl w:val="0"/>
          <w:numId w:val="2"/>
        </w:numPr>
        <w:spacing w:after="80"/>
      </w:pPr>
      <w:r>
        <w:t xml:space="preserve">Event calendar data: earnings dates, RBI policy dates, Union Budget (feeds Side Feature 3).</w:t>
      </w:r>
    </w:p>
    <w:p>
      <w:pPr>
        <w:pStyle w:val="ListParagraph"/>
        <w:numPr>
          <w:ilvl w:val="0"/>
          <w:numId w:val="2"/>
        </w:numPr>
        <w:spacing w:after="80"/>
      </w:pPr>
      <w:r>
        <w:t xml:space="preserve">Data cleaning, timestamp normalization, corporate-action validation against official NSE reference data.</w:t>
      </w:r>
    </w:p>
    <w:p>
      <w:pPr>
        <w:pStyle w:val="Heading2"/>
        <w:spacing w:after="120" w:before="260"/>
      </w:pPr>
      <w:r>
        <w:t xml:space="preserve">Module B1 — Price-Pattern Classifier (ML sub-track)</w:t>
      </w:r>
    </w:p>
    <w:p>
      <w:pPr>
        <w:pStyle w:val="ListParagraph"/>
        <w:numPr>
          <w:ilvl w:val="0"/>
          <w:numId w:val="2"/>
        </w:numPr>
        <w:spacing w:after="80"/>
      </w:pPr>
      <w:r>
        <w:t xml:space="preserve">Feature engineering from 2–5 years of OHLCV: moving averages, RSI, MACD, rolling volatility, volume trends, return z-scores.</w:t>
      </w:r>
    </w:p>
    <w:p>
      <w:pPr>
        <w:pStyle w:val="ListParagraph"/>
        <w:numPr>
          <w:ilvl w:val="0"/>
          <w:numId w:val="2"/>
        </w:numPr>
        <w:spacing w:after="80"/>
      </w:pPr>
      <w:r>
        <w:t xml:space="preserve">Model: XGBoost/LightGBM classifying regime (bullish/bearish/consolidating) from engineered features — recommended over deep sequence models given limited per-stock data (roughly 500–1250 daily rows per stock over 2–5 years).</w:t>
      </w:r>
    </w:p>
    <w:p>
      <w:pPr>
        <w:pStyle w:val="ListParagraph"/>
        <w:numPr>
          <w:ilvl w:val="0"/>
          <w:numId w:val="2"/>
        </w:numPr>
        <w:spacing w:after="80"/>
      </w:pPr>
      <w:r>
        <w:t xml:space="preserve">Historical pattern-matching: nearest-neighbor search over past “situation vectors” per stock to surface empirically similar past instances and their outcomes, explicitly reported as historical record, not forecast.</w:t>
      </w:r>
    </w:p>
    <w:p>
      <w:pPr>
        <w:pStyle w:val="ListParagraph"/>
        <w:numPr>
          <w:ilvl w:val="0"/>
          <w:numId w:val="2"/>
        </w:numPr>
        <w:spacing w:after="80"/>
      </w:pPr>
      <w:r>
        <w:t xml:space="preserve">Evaluation: classification accuracy/F1 on held-out periods, feature importance analysis for interpretability.</w:t>
      </w:r>
    </w:p>
    <w:p>
      <w:pPr>
        <w:pStyle w:val="Heading2"/>
        <w:spacing w:after="120" w:before="260"/>
      </w:pPr>
      <w:r>
        <w:t xml:space="preserve">Module B2 — Fine-Tuned BERT Sentiment &amp; Causal-Category Model (ML sub-track)</w:t>
      </w:r>
    </w:p>
    <w:p>
      <w:pPr>
        <w:pStyle w:val="ListParagraph"/>
        <w:numPr>
          <w:ilvl w:val="0"/>
          <w:numId w:val="2"/>
        </w:numPr>
        <w:spacing w:after="80"/>
      </w:pPr>
      <w:r>
        <w:t xml:space="preserve">Base model: pretrained financial-domain BERT (e.g., FinBERT) fine-tuned further on a self-labeled Indian market news/social dataset.</w:t>
      </w:r>
    </w:p>
    <w:p>
      <w:pPr>
        <w:pStyle w:val="ListParagraph"/>
        <w:numPr>
          <w:ilvl w:val="0"/>
          <w:numId w:val="2"/>
        </w:numPr>
        <w:spacing w:after="80"/>
      </w:pPr>
      <w:r>
        <w:t xml:space="preserve">Two classification heads: sentiment (bullish/bearish/neutral) and causal category (geopolitical/regulatory/earnings/macro/sector-specific/company-specific).</w:t>
      </w:r>
    </w:p>
    <w:p>
      <w:pPr>
        <w:pStyle w:val="ListParagraph"/>
        <w:numPr>
          <w:ilvl w:val="0"/>
          <w:numId w:val="2"/>
        </w:numPr>
        <w:spacing w:after="80"/>
      </w:pPr>
      <w:r>
        <w:t xml:space="preserve">Labeling strategy: bootstrap with LLM-assisted pre-labeling, then manual team review/correction of a sample — documented as methodology in the report.</w:t>
      </w:r>
    </w:p>
    <w:p>
      <w:pPr>
        <w:pStyle w:val="ListParagraph"/>
        <w:numPr>
          <w:ilvl w:val="0"/>
          <w:numId w:val="2"/>
        </w:numPr>
        <w:spacing w:after="80"/>
      </w:pPr>
      <w:r>
        <w:t xml:space="preserve">Evaluation: accuracy, per-class F1, confusion matrix on a held-out test set kept separate from fine-tuning data.</w:t>
      </w:r>
    </w:p>
    <w:p>
      <w:pPr>
        <w:pStyle w:val="Heading2"/>
        <w:spacing w:after="120" w:before="260"/>
      </w:pPr>
      <w:r>
        <w:t xml:space="preserve">Module B3 — Signal Fusion and Causal RAG Synthesis</w:t>
      </w:r>
    </w:p>
    <w:p>
      <w:pPr>
        <w:pStyle w:val="ListParagraph"/>
        <w:numPr>
          <w:ilvl w:val="0"/>
          <w:numId w:val="2"/>
        </w:numPr>
        <w:spacing w:after="80"/>
      </w:pPr>
      <w:r>
        <w:t xml:space="preserve">Signal-agreement logic: compares B1's regime output against B2's sentiment output — aligned / diverging / insufficient signal (Section 7.3).</w:t>
      </w:r>
    </w:p>
    <w:p>
      <w:pPr>
        <w:pStyle w:val="ListParagraph"/>
        <w:numPr>
          <w:ilvl w:val="0"/>
          <w:numId w:val="2"/>
        </w:numPr>
        <w:spacing w:after="80"/>
      </w:pPr>
      <w:r>
        <w:t xml:space="preserve">Time-aligned RAG retrieval: strict timestamp ≤ move-date filtering to prevent hindsight bias; entity/sector-boosted relevance.</w:t>
      </w:r>
    </w:p>
    <w:p>
      <w:pPr>
        <w:pStyle w:val="ListParagraph"/>
        <w:numPr>
          <w:ilvl w:val="0"/>
          <w:numId w:val="2"/>
        </w:numPr>
        <w:spacing w:after="80"/>
      </w:pPr>
      <w:r>
        <w:t xml:space="preserve">Causal synthesis prompting: LLM ranks evidence strength, cites sources, distinguishes market-wide vs stock-specific causes, and abstains when evidence is weak — informed by the price+sentiment context from B1/B2 rather than reasoning cold.</w:t>
      </w:r>
    </w:p>
    <w:p>
      <w:pPr>
        <w:pStyle w:val="ListParagraph"/>
        <w:numPr>
          <w:ilvl w:val="0"/>
          <w:numId w:val="2"/>
        </w:numPr>
        <w:spacing w:after="80"/>
      </w:pPr>
      <w:r>
        <w:t xml:space="preserve">Confidence scoring combining all three signals: price regime, BERT sentiment, and RAG source strength.</w:t>
      </w:r>
    </w:p>
    <w:p>
      <w:pPr>
        <w:pStyle w:val="Heading2"/>
        <w:spacing w:after="120" w:before="260"/>
      </w:pPr>
      <w:r>
        <w:t xml:space="preserve">Module C — Backend, Analytics and Comparison</w:t>
      </w:r>
    </w:p>
    <w:p>
      <w:pPr>
        <w:pStyle w:val="ListParagraph"/>
        <w:numPr>
          <w:ilvl w:val="0"/>
          <w:numId w:val="2"/>
        </w:numPr>
        <w:spacing w:after="80"/>
      </w:pPr>
      <w:r>
        <w:t xml:space="preserve">Spring Boot service layer: auth, orchestration, Caffeine caching, rate limiting.</w:t>
      </w:r>
    </w:p>
    <w:p>
      <w:pPr>
        <w:pStyle w:val="ListParagraph"/>
        <w:numPr>
          <w:ilvl w:val="0"/>
          <w:numId w:val="2"/>
        </w:numPr>
        <w:spacing w:after="80"/>
      </w:pPr>
      <w:r>
        <w:t xml:space="preserve">Statistical anomaly detection: rolling z-score on returns/volume, excess-return vs benchmark index.</w:t>
      </w:r>
    </w:p>
    <w:p>
      <w:pPr>
        <w:pStyle w:val="ListParagraph"/>
        <w:numPr>
          <w:ilvl w:val="0"/>
          <w:numId w:val="2"/>
        </w:numPr>
        <w:spacing w:after="80"/>
      </w:pPr>
      <w:r>
        <w:t xml:space="preserve">Peer/sector comparison mode and volatility/risk snapshot (beta vs Nifty, volatility percentile).</w:t>
      </w:r>
    </w:p>
    <w:p>
      <w:pPr>
        <w:pStyle w:val="ListParagraph"/>
        <w:numPr>
          <w:ilvl w:val="0"/>
          <w:numId w:val="2"/>
        </w:numPr>
        <w:spacing w:after="80"/>
      </w:pPr>
      <w:r>
        <w:t xml:space="preserve">Portfolio-linked alert logic (connects to WealthMap/Asset Hub-style holdings).</w:t>
      </w:r>
    </w:p>
    <w:p>
      <w:pPr>
        <w:pStyle w:val="ListParagraph"/>
        <w:numPr>
          <w:ilvl w:val="0"/>
          <w:numId w:val="2"/>
        </w:numPr>
        <w:spacing w:after="80"/>
      </w:pPr>
      <w:r>
        <w:t xml:space="preserve">Integration layer unifying Modules A/B outputs into API responses.</w:t>
      </w:r>
    </w:p>
    <w:p>
      <w:pPr>
        <w:pStyle w:val="Heading2"/>
        <w:spacing w:after="120" w:before="260"/>
      </w:pPr>
      <w:r>
        <w:t xml:space="preserve">Module D — Frontend and Evaluation</w:t>
      </w:r>
    </w:p>
    <w:p>
      <w:pPr>
        <w:pStyle w:val="ListParagraph"/>
        <w:numPr>
          <w:ilvl w:val="0"/>
          <w:numId w:val="2"/>
        </w:numPr>
        <w:spacing w:after="80"/>
      </w:pPr>
      <w:r>
        <w:t xml:space="preserve">React + Vite + TypeScript dashboard: query bar, price chart with anomaly highlighting, sentiment trend line.</w:t>
      </w:r>
    </w:p>
    <w:p>
      <w:pPr>
        <w:pStyle w:val="ListParagraph"/>
        <w:numPr>
          <w:ilvl w:val="0"/>
          <w:numId w:val="2"/>
        </w:numPr>
        <w:spacing w:after="80"/>
      </w:pPr>
      <w:r>
        <w:t xml:space="preserve">Explanation panel: cited sources, signal-agreement badge, confidence indicator, explicit “insufficient evidence” state.</w:t>
      </w:r>
    </w:p>
    <w:p>
      <w:pPr>
        <w:pStyle w:val="ListParagraph"/>
        <w:numPr>
          <w:ilvl w:val="0"/>
          <w:numId w:val="2"/>
        </w:numPr>
        <w:spacing w:after="80"/>
      </w:pPr>
      <w:r>
        <w:t xml:space="preserve">Explainability trail (retrieved sources + tags + ranking, collapsible view) and historical pattern-match display.</w:t>
      </w:r>
    </w:p>
    <w:p>
      <w:pPr>
        <w:pStyle w:val="ListParagraph"/>
        <w:numPr>
          <w:ilvl w:val="0"/>
          <w:numId w:val="2"/>
        </w:numPr>
        <w:spacing w:after="80"/>
      </w:pPr>
      <w:r>
        <w:t xml:space="preserve">Evaluation framework: backtest set, human-rated rubric, and the public-facing accuracy scoreboard (Side Feature 8).</w:t>
      </w:r>
    </w:p>
    <w:p>
      <w:pPr>
        <w:pStyle w:val="ListParagraph"/>
        <w:numPr>
          <w:ilvl w:val="0"/>
          <w:numId w:val="2"/>
        </w:numPr>
        <w:spacing w:after="80"/>
      </w:pPr>
      <w:r>
        <w:t xml:space="preserve">Report export (PDF) of a query's full breakdown.</w:t>
      </w:r>
    </w:p>
    <w:p>
      <w:pPr>
        <w:pStyle w:val="Heading1"/>
        <w:spacing w:after="160" w:before="360"/>
      </w:pPr>
      <w:r>
        <w:t xml:space="preserve">6. Statistical Anomaly and Trend Detection</w:t>
      </w:r>
    </w:p>
    <w:p>
      <w:pPr>
        <w:spacing w:after="160" w:line="300"/>
      </w:pPr>
      <w:r>
        <w:t xml:space="preserve">Independent of the ML models, purely statistical, no training required:</w:t>
      </w:r>
    </w:p>
    <w:p>
      <w:pPr>
        <w:pStyle w:val="ListParagraph"/>
        <w:numPr>
          <w:ilvl w:val="0"/>
          <w:numId w:val="2"/>
        </w:numPr>
        <w:spacing w:after="80"/>
      </w:pPr>
      <w:r>
        <w:t xml:space="preserve">Return z-score: rolling mean/std of daily returns (20 or 60-day window), flagged at |z| &gt; 2 (notable) or |z| &gt; 3 (significant).</w:t>
      </w:r>
    </w:p>
    <w:p>
      <w:pPr>
        <w:pStyle w:val="ListParagraph"/>
        <w:numPr>
          <w:ilvl w:val="0"/>
          <w:numId w:val="2"/>
        </w:numPr>
        <w:spacing w:after="80"/>
      </w:pPr>
      <w:r>
        <w:t xml:space="preserve">Volume z-score: rolling volume anomaly, used to weight significance.</w:t>
      </w:r>
    </w:p>
    <w:p>
      <w:pPr>
        <w:pStyle w:val="ListParagraph"/>
        <w:numPr>
          <w:ilvl w:val="0"/>
          <w:numId w:val="2"/>
        </w:numPr>
        <w:spacing w:after="80"/>
      </w:pPr>
      <w:r>
        <w:t xml:space="preserve">Excess return vs benchmark index: separates stock-specific from market-wide moves.</w:t>
      </w:r>
    </w:p>
    <w:p>
      <w:pPr>
        <w:pStyle w:val="ListParagraph"/>
        <w:numPr>
          <w:ilvl w:val="0"/>
          <w:numId w:val="2"/>
        </w:numPr>
        <w:spacing w:after="80"/>
      </w:pPr>
      <w:r>
        <w:t xml:space="preserve">Trend confirmation: moving-average crossovers and N-day high/low breakouts.</w:t>
      </w:r>
    </w:p>
    <w:p>
      <w:pPr>
        <w:spacing w:after="160" w:line="300"/>
      </w:pPr>
      <w:r>
        <w:t xml:space="preserve">This layer's output (the exact anomalous date window) is what triggers and bounds the ML/RAG pipeline downstream — it decides *when* to look, while B1/B2/B3 decide *what kind of move* and *why*.</w:t>
      </w:r>
    </w:p>
    <w:p>
      <w:pPr>
        <w:pStyle w:val="Heading1"/>
        <w:spacing w:after="160" w:before="360"/>
      </w:pPr>
      <w:r>
        <w:t xml:space="preserve">7. Price Model, BERT Sentiment, and Signal Fusion — Detailed Design</w:t>
      </w:r>
    </w:p>
    <w:p>
      <w:pPr>
        <w:pStyle w:val="Heading3"/>
        <w:spacing w:after="100" w:before="200"/>
      </w:pPr>
      <w:r>
        <w:t xml:space="preserve">7.1 Price-Pattern Classifier</w:t>
      </w:r>
    </w:p>
    <w:p>
      <w:pPr>
        <w:spacing w:after="160" w:line="300"/>
      </w:pPr>
      <w:r>
        <w:t xml:space="preserve">Trained on 2–5 years of per-stock OHLCV-derived features (Module B1). Its job is to classify *what kind* of move is occurring (regime) and *how it compares historically* — not to predict future prices or explain causes. This boundary is intentional: price data alone cannot contain causal information that was never recorded in it.</w:t>
      </w:r>
    </w:p>
    <w:p>
      <w:pPr>
        <w:pStyle w:val="Heading3"/>
        <w:spacing w:after="100" w:before="200"/>
      </w:pPr>
      <w:r>
        <w:t xml:space="preserve">7.2 Fine-Tuned BERT Sentiment Model</w:t>
      </w:r>
    </w:p>
    <w:p>
      <w:pPr>
        <w:spacing w:after="160" w:line="300"/>
      </w:pPr>
      <w:r>
        <w:t xml:space="preserve">Trained on financial news/social text (Module B2). Reads text published in and before the detected anomaly window and outputs aggregate sentiment plus causal-category tags. This is the component that actually has access to potential “why” information, since causes live in text, not prices.</w:t>
      </w:r>
    </w:p>
    <w:p>
      <w:pPr>
        <w:pStyle w:val="Heading3"/>
        <w:spacing w:after="100" w:before="200"/>
      </w:pPr>
      <w:r>
        <w:t xml:space="preserve">7.3 Signal Agreement Layer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50"/>
      </w:tblGrid>
      <w:tr>
        <w:trPr>
          <w:tblHeader/>
        </w:trPr>
        <w:tc>
          <w:tcPr>
            <w:tcW w:type="dxa" w:w="2400"/>
            <w:shd w:fill="1F4E5F" w:val="clear"/>
            <w:tcMar>
              <w:top w:type="dxa" w:w="100"/>
              <w:left w:type="dxa" w:w="120"/>
              <w:bottom w:type="dxa" w:w="100"/>
              <w:right w:type="dxa" w:w="120"/>
            </w:tcMar>
          </w:tcPr>
          <w:p>
            <w:r>
              <w:rPr>
                <w:b/>
                <w:bCs/>
                <w:color w:val="FFFFFF"/>
              </w:rPr>
              <w:t xml:space="preserve">Price regime</w:t>
            </w:r>
          </w:p>
        </w:tc>
        <w:tc>
          <w:tcPr>
            <w:tcW w:type="dxa" w:w="2400"/>
            <w:shd w:fill="1F4E5F" w:val="clear"/>
            <w:tcMar>
              <w:top w:type="dxa" w:w="100"/>
              <w:left w:type="dxa" w:w="120"/>
              <w:bottom w:type="dxa" w:w="100"/>
              <w:right w:type="dxa" w:w="120"/>
            </w:tcMar>
          </w:tcPr>
          <w:p>
            <w:r>
              <w:rPr>
                <w:b/>
                <w:bCs/>
                <w:color w:val="FFFFFF"/>
              </w:rPr>
              <w:t xml:space="preserve">BERT sentiment</w:t>
            </w:r>
          </w:p>
        </w:tc>
        <w:tc>
          <w:tcPr>
            <w:tcW w:type="dxa" w:w="4550"/>
            <w:shd w:fill="1F4E5F" w:val="clear"/>
            <w:tcMar>
              <w:top w:type="dxa" w:w="100"/>
              <w:left w:type="dxa" w:w="120"/>
              <w:bottom w:type="dxa" w:w="100"/>
              <w:right w:type="dxa" w:w="120"/>
            </w:tcMar>
          </w:tcPr>
          <w:p>
            <w:r>
              <w:rPr>
                <w:b/>
                <w:bCs/>
                <w:color w:val="FFFFFF"/>
              </w:rPr>
              <w:t xml:space="preserve">Interpretation</w:t>
            </w:r>
          </w:p>
        </w:tc>
      </w:tr>
      <w:tr>
        <w:tc>
          <w:tcPr>
            <w:tcW w:type="dxa" w:w="2400"/>
            <w:tcMar>
              <w:top w:type="dxa" w:w="90"/>
              <w:left w:type="dxa" w:w="120"/>
              <w:bottom w:type="dxa" w:w="90"/>
              <w:right w:type="dxa" w:w="120"/>
            </w:tcMar>
          </w:tcPr>
          <w:p>
            <w:r>
              <w:t xml:space="preserve">Bearish</w:t>
            </w:r>
          </w:p>
        </w:tc>
        <w:tc>
          <w:tcPr>
            <w:tcW w:type="dxa" w:w="2400"/>
            <w:tcMar>
              <w:top w:type="dxa" w:w="90"/>
              <w:left w:type="dxa" w:w="120"/>
              <w:bottom w:type="dxa" w:w="90"/>
              <w:right w:type="dxa" w:w="120"/>
            </w:tcMar>
          </w:tcPr>
          <w:p>
            <w:r>
              <w:t xml:space="preserve">Bearish</w:t>
            </w:r>
          </w:p>
        </w:tc>
        <w:tc>
          <w:tcPr>
            <w:tcW w:type="dxa" w:w="4550"/>
            <w:tcMar>
              <w:top w:type="dxa" w:w="90"/>
              <w:left w:type="dxa" w:w="120"/>
              <w:bottom w:type="dxa" w:w="90"/>
              <w:right w:type="dxa" w:w="120"/>
            </w:tcMar>
          </w:tcPr>
          <w:p>
            <w:r>
              <w:t xml:space="preserve">Price move consistent with prevailing narrative — sentiment likely explains it</w:t>
            </w:r>
          </w:p>
        </w:tc>
      </w:tr>
      <w:tr>
        <w:tc>
          <w:tcPr>
            <w:tcW w:type="dxa" w:w="2400"/>
            <w:tcMar>
              <w:top w:type="dxa" w:w="90"/>
              <w:left w:type="dxa" w:w="120"/>
              <w:bottom w:type="dxa" w:w="90"/>
              <w:right w:type="dxa" w:w="120"/>
            </w:tcMar>
          </w:tcPr>
          <w:p>
            <w:r>
              <w:t xml:space="preserve">Bearish</w:t>
            </w:r>
          </w:p>
        </w:tc>
        <w:tc>
          <w:tcPr>
            <w:tcW w:type="dxa" w:w="2400"/>
            <w:tcMar>
              <w:top w:type="dxa" w:w="90"/>
              <w:left w:type="dxa" w:w="120"/>
              <w:bottom w:type="dxa" w:w="90"/>
              <w:right w:type="dxa" w:w="120"/>
            </w:tcMar>
          </w:tcPr>
          <w:p>
            <w:r>
              <w:t xml:space="preserve">Neutral / Bullish</w:t>
            </w:r>
          </w:p>
        </w:tc>
        <w:tc>
          <w:tcPr>
            <w:tcW w:type="dxa" w:w="4550"/>
            <w:tcMar>
              <w:top w:type="dxa" w:w="90"/>
              <w:left w:type="dxa" w:w="120"/>
              <w:bottom w:type="dxa" w:w="90"/>
              <w:right w:type="dxa" w:w="120"/>
            </w:tcMar>
          </w:tcPr>
          <w:p>
            <w:r>
              <w:t xml:space="preserve">Divergence — no negative narrative found; flag as unclear cause, possible technical/institutional factors, or news lag</w:t>
            </w:r>
          </w:p>
        </w:tc>
      </w:tr>
      <w:tr>
        <w:tc>
          <w:tcPr>
            <w:tcW w:type="dxa" w:w="2400"/>
            <w:tcMar>
              <w:top w:type="dxa" w:w="90"/>
              <w:left w:type="dxa" w:w="120"/>
              <w:bottom w:type="dxa" w:w="90"/>
              <w:right w:type="dxa" w:w="120"/>
            </w:tcMar>
          </w:tcPr>
          <w:p>
            <w:r>
              <w:t xml:space="preserve">Bullish</w:t>
            </w:r>
          </w:p>
        </w:tc>
        <w:tc>
          <w:tcPr>
            <w:tcW w:type="dxa" w:w="2400"/>
            <w:tcMar>
              <w:top w:type="dxa" w:w="90"/>
              <w:left w:type="dxa" w:w="120"/>
              <w:bottom w:type="dxa" w:w="90"/>
              <w:right w:type="dxa" w:w="120"/>
            </w:tcMar>
          </w:tcPr>
          <w:p>
            <w:r>
              <w:t xml:space="preserve">Bearish</w:t>
            </w:r>
          </w:p>
        </w:tc>
        <w:tc>
          <w:tcPr>
            <w:tcW w:type="dxa" w:w="4550"/>
            <w:tcMar>
              <w:top w:type="dxa" w:w="90"/>
              <w:left w:type="dxa" w:w="120"/>
              <w:bottom w:type="dxa" w:w="90"/>
              <w:right w:type="dxa" w:w="120"/>
            </w:tcMar>
          </w:tcPr>
          <w:p>
            <w:r>
              <w:t xml:space="preserve">Divergence — possible “sell the news” reversal or technical bounce</w:t>
            </w:r>
          </w:p>
        </w:tc>
      </w:tr>
      <w:tr>
        <w:tc>
          <w:tcPr>
            <w:tcW w:type="dxa" w:w="2400"/>
            <w:tcMar>
              <w:top w:type="dxa" w:w="90"/>
              <w:left w:type="dxa" w:w="120"/>
              <w:bottom w:type="dxa" w:w="90"/>
              <w:right w:type="dxa" w:w="120"/>
            </w:tcMar>
          </w:tcPr>
          <w:p>
            <w:r>
              <w:t xml:space="preserve">Bullish</w:t>
            </w:r>
          </w:p>
        </w:tc>
        <w:tc>
          <w:tcPr>
            <w:tcW w:type="dxa" w:w="2400"/>
            <w:tcMar>
              <w:top w:type="dxa" w:w="90"/>
              <w:left w:type="dxa" w:w="120"/>
              <w:bottom w:type="dxa" w:w="90"/>
              <w:right w:type="dxa" w:w="120"/>
            </w:tcMar>
          </w:tcPr>
          <w:p>
            <w:r>
              <w:t xml:space="preserve">Bullish</w:t>
            </w:r>
          </w:p>
        </w:tc>
        <w:tc>
          <w:tcPr>
            <w:tcW w:type="dxa" w:w="4550"/>
            <w:tcMar>
              <w:top w:type="dxa" w:w="90"/>
              <w:left w:type="dxa" w:w="120"/>
              <w:bottom w:type="dxa" w:w="90"/>
              <w:right w:type="dxa" w:w="120"/>
            </w:tcMar>
          </w:tcPr>
          <w:p>
            <w:r>
              <w:t xml:space="preserve">Consistent — sentiment likely explains the rise</w:t>
            </w:r>
          </w:p>
        </w:tc>
      </w:tr>
    </w:tbl>
    <w:p>
      <w:pPr>
        <w:spacing w:after="160" w:line="300"/>
      </w:pPr>
      <w:r>
        <w:t xml:space="preserve">This agreement/divergence check is a genuine piece of novelty: it cross-validates a text-derived signal against an independent price-derived signal before committing to an explanation, rather than trusting either signal alone.</w:t>
      </w:r>
    </w:p>
    <w:p>
      <w:pPr>
        <w:pStyle w:val="Heading3"/>
        <w:spacing w:after="100" w:before="200"/>
      </w:pPr>
      <w:r>
        <w:t xml:space="preserve">7.4 Feeding into RAG Synthesis</w:t>
      </w:r>
    </w:p>
    <w:p>
      <w:pPr>
        <w:spacing w:after="160" w:line="300"/>
      </w:pPr>
      <w:r>
        <w:t xml:space="preserve">The combined price regime + sentiment + category signal is passed as context into the RAG causal synthesis prompt (Module B3), sharpening retrieval and letting the LLM state confidence more precisely — rather than the LLM reasoning from raw retrieved news with no structured prior.</w:t>
      </w:r>
    </w:p>
    <w:p>
      <w:pPr>
        <w:pStyle w:val="Heading1"/>
        <w:spacing w:after="160" w:before="360"/>
      </w:pPr>
      <w:r>
        <w:t xml:space="preserve">8. Side Features</w:t>
      </w:r>
    </w:p>
    <w:p>
      <w:pPr>
        <w:spacing w:after="160" w:line="300"/>
      </w:pPr>
      <w:r>
        <w:t xml:space="preserve">Layered on top of the core engine, each mapped to a module for clear ownership.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4650"/>
        <w:gridCol w:w="1900"/>
      </w:tblGrid>
      <w:tr>
        <w:trPr>
          <w:tblHeader/>
        </w:trPr>
        <w:tc>
          <w:tcPr>
            <w:tcW w:type="dxa" w:w="500"/>
            <w:shd w:fill="1F4E5F" w:val="clear"/>
            <w:tcMar>
              <w:top w:type="dxa" w:w="100"/>
              <w:left w:type="dxa" w:w="120"/>
              <w:bottom w:type="dxa" w:w="100"/>
              <w:right w:type="dxa" w:w="120"/>
            </w:tcMar>
          </w:tcPr>
          <w:p>
            <w:r>
              <w:rPr>
                <w:b/>
                <w:bCs/>
                <w:color w:val="FFFFFF"/>
              </w:rPr>
              <w:t xml:space="preserve">#</w:t>
            </w:r>
          </w:p>
        </w:tc>
        <w:tc>
          <w:tcPr>
            <w:tcW w:type="dxa" w:w="2300"/>
            <w:shd w:fill="1F4E5F" w:val="clear"/>
            <w:tcMar>
              <w:top w:type="dxa" w:w="100"/>
              <w:left w:type="dxa" w:w="120"/>
              <w:bottom w:type="dxa" w:w="100"/>
              <w:right w:type="dxa" w:w="120"/>
            </w:tcMar>
          </w:tcPr>
          <w:p>
            <w:r>
              <w:rPr>
                <w:b/>
                <w:bCs/>
                <w:color w:val="FFFFFF"/>
              </w:rPr>
              <w:t xml:space="preserve">Feature</w:t>
            </w:r>
          </w:p>
        </w:tc>
        <w:tc>
          <w:tcPr>
            <w:tcW w:type="dxa" w:w="4650"/>
            <w:shd w:fill="1F4E5F" w:val="clear"/>
            <w:tcMar>
              <w:top w:type="dxa" w:w="100"/>
              <w:left w:type="dxa" w:w="120"/>
              <w:bottom w:type="dxa" w:w="100"/>
              <w:right w:type="dxa" w:w="120"/>
            </w:tcMar>
          </w:tcPr>
          <w:p>
            <w:r>
              <w:rPr>
                <w:b/>
                <w:bCs/>
                <w:color w:val="FFFFFF"/>
              </w:rPr>
              <w:t xml:space="preserve">Description</w:t>
            </w:r>
          </w:p>
        </w:tc>
        <w:tc>
          <w:tcPr>
            <w:tcW w:type="dxa" w:w="1900"/>
            <w:shd w:fill="1F4E5F" w:val="clear"/>
            <w:tcMar>
              <w:top w:type="dxa" w:w="100"/>
              <w:left w:type="dxa" w:w="120"/>
              <w:bottom w:type="dxa" w:w="100"/>
              <w:right w:type="dxa" w:w="120"/>
            </w:tcMar>
          </w:tcPr>
          <w:p>
            <w:r>
              <w:rPr>
                <w:b/>
                <w:bCs/>
                <w:color w:val="FFFFFF"/>
              </w:rPr>
              <w:t xml:space="preserve">Module</w:t>
            </w:r>
          </w:p>
        </w:tc>
      </w:tr>
      <w:tr>
        <w:tc>
          <w:tcPr>
            <w:tcW w:type="dxa" w:w="500"/>
            <w:tcMar>
              <w:top w:type="dxa" w:w="90"/>
              <w:left w:type="dxa" w:w="120"/>
              <w:bottom w:type="dxa" w:w="90"/>
              <w:right w:type="dxa" w:w="120"/>
            </w:tcMar>
          </w:tcPr>
          <w:p>
            <w:r>
              <w:t xml:space="preserve">1</w:t>
            </w:r>
          </w:p>
        </w:tc>
        <w:tc>
          <w:tcPr>
            <w:tcW w:type="dxa" w:w="2300"/>
            <w:tcMar>
              <w:top w:type="dxa" w:w="90"/>
              <w:left w:type="dxa" w:w="120"/>
              <w:bottom w:type="dxa" w:w="90"/>
              <w:right w:type="dxa" w:w="120"/>
            </w:tcMar>
          </w:tcPr>
          <w:p>
            <w:r>
              <w:t xml:space="preserve">Portfolio-linked alerts</w:t>
            </w:r>
          </w:p>
        </w:tc>
        <w:tc>
          <w:tcPr>
            <w:tcW w:type="dxa" w:w="4650"/>
            <w:tcMar>
              <w:top w:type="dxa" w:w="90"/>
              <w:left w:type="dxa" w:w="120"/>
              <w:bottom w:type="dxa" w:w="90"/>
              <w:right w:type="dxa" w:w="120"/>
            </w:tcMar>
          </w:tcPr>
          <w:p>
            <w:r>
              <w:t xml:space="preserve">Connect WealthMap/Asset Hub-style holdings; proactively surface flagged moves on held stocks</w:t>
            </w:r>
          </w:p>
        </w:tc>
        <w:tc>
          <w:tcPr>
            <w:tcW w:type="dxa" w:w="1900"/>
            <w:tcMar>
              <w:top w:type="dxa" w:w="90"/>
              <w:left w:type="dxa" w:w="120"/>
              <w:bottom w:type="dxa" w:w="90"/>
              <w:right w:type="dxa" w:w="120"/>
            </w:tcMar>
          </w:tcPr>
          <w:p>
            <w:r>
              <w:t xml:space="preserve">A + C</w:t>
            </w:r>
          </w:p>
        </w:tc>
      </w:tr>
      <w:tr>
        <w:tc>
          <w:tcPr>
            <w:tcW w:type="dxa" w:w="500"/>
            <w:tcMar>
              <w:top w:type="dxa" w:w="90"/>
              <w:left w:type="dxa" w:w="120"/>
              <w:bottom w:type="dxa" w:w="90"/>
              <w:right w:type="dxa" w:w="120"/>
            </w:tcMar>
          </w:tcPr>
          <w:p>
            <w:r>
              <w:t xml:space="preserve">2</w:t>
            </w:r>
          </w:p>
        </w:tc>
        <w:tc>
          <w:tcPr>
            <w:tcW w:type="dxa" w:w="2300"/>
            <w:tcMar>
              <w:top w:type="dxa" w:w="90"/>
              <w:left w:type="dxa" w:w="120"/>
              <w:bottom w:type="dxa" w:w="90"/>
              <w:right w:type="dxa" w:w="120"/>
            </w:tcMar>
          </w:tcPr>
          <w:p>
            <w:r>
              <w:t xml:space="preserve">Sentiment trend visualization</w:t>
            </w:r>
          </w:p>
        </w:tc>
        <w:tc>
          <w:tcPr>
            <w:tcW w:type="dxa" w:w="4650"/>
            <w:tcMar>
              <w:top w:type="dxa" w:w="90"/>
              <w:left w:type="dxa" w:w="120"/>
              <w:bottom w:type="dxa" w:w="90"/>
              <w:right w:type="dxa" w:w="120"/>
            </w:tcMar>
          </w:tcPr>
          <w:p>
            <w:r>
              <w:t xml:space="preserve">30/60/90-day sentiment trend line per stock from the BERT model, shown alongside price chart</w:t>
            </w:r>
          </w:p>
        </w:tc>
        <w:tc>
          <w:tcPr>
            <w:tcW w:type="dxa" w:w="1900"/>
            <w:tcMar>
              <w:top w:type="dxa" w:w="90"/>
              <w:left w:type="dxa" w:w="120"/>
              <w:bottom w:type="dxa" w:w="90"/>
              <w:right w:type="dxa" w:w="120"/>
            </w:tcMar>
          </w:tcPr>
          <w:p>
            <w:r>
              <w:t xml:space="preserve">B2 / D</w:t>
            </w:r>
          </w:p>
        </w:tc>
      </w:tr>
      <w:tr>
        <w:tc>
          <w:tcPr>
            <w:tcW w:type="dxa" w:w="500"/>
            <w:tcMar>
              <w:top w:type="dxa" w:w="90"/>
              <w:left w:type="dxa" w:w="120"/>
              <w:bottom w:type="dxa" w:w="90"/>
              <w:right w:type="dxa" w:w="120"/>
            </w:tcMar>
          </w:tcPr>
          <w:p>
            <w:r>
              <w:t xml:space="preserve">3</w:t>
            </w:r>
          </w:p>
        </w:tc>
        <w:tc>
          <w:tcPr>
            <w:tcW w:type="dxa" w:w="2300"/>
            <w:tcMar>
              <w:top w:type="dxa" w:w="90"/>
              <w:left w:type="dxa" w:w="120"/>
              <w:bottom w:type="dxa" w:w="90"/>
              <w:right w:type="dxa" w:w="120"/>
            </w:tcMar>
          </w:tcPr>
          <w:p>
            <w:r>
              <w:t xml:space="preserve">Event calendar &amp; watch factors</w:t>
            </w:r>
          </w:p>
        </w:tc>
        <w:tc>
          <w:tcPr>
            <w:tcW w:type="dxa" w:w="4650"/>
            <w:tcMar>
              <w:top w:type="dxa" w:w="90"/>
              <w:left w:type="dxa" w:w="120"/>
              <w:bottom w:type="dxa" w:w="90"/>
              <w:right w:type="dxa" w:w="120"/>
            </w:tcMar>
          </w:tcPr>
          <w:p>
            <w:r>
              <w:t xml:space="preserve">Earnings dates, RBI policy, Union Budget shown as chart markers — explicitly not predictive</w:t>
            </w:r>
          </w:p>
        </w:tc>
        <w:tc>
          <w:tcPr>
            <w:tcW w:type="dxa" w:w="1900"/>
            <w:tcMar>
              <w:top w:type="dxa" w:w="90"/>
              <w:left w:type="dxa" w:w="120"/>
              <w:bottom w:type="dxa" w:w="90"/>
              <w:right w:type="dxa" w:w="120"/>
            </w:tcMar>
          </w:tcPr>
          <w:p>
            <w:r>
              <w:t xml:space="preserve">A / D</w:t>
            </w:r>
          </w:p>
        </w:tc>
      </w:tr>
      <w:tr>
        <w:tc>
          <w:tcPr>
            <w:tcW w:type="dxa" w:w="500"/>
            <w:tcMar>
              <w:top w:type="dxa" w:w="90"/>
              <w:left w:type="dxa" w:w="120"/>
              <w:bottom w:type="dxa" w:w="90"/>
              <w:right w:type="dxa" w:w="120"/>
            </w:tcMar>
          </w:tcPr>
          <w:p>
            <w:r>
              <w:t xml:space="preserve">4</w:t>
            </w:r>
          </w:p>
        </w:tc>
        <w:tc>
          <w:tcPr>
            <w:tcW w:type="dxa" w:w="2300"/>
            <w:tcMar>
              <w:top w:type="dxa" w:w="90"/>
              <w:left w:type="dxa" w:w="120"/>
              <w:bottom w:type="dxa" w:w="90"/>
              <w:right w:type="dxa" w:w="120"/>
            </w:tcMar>
          </w:tcPr>
          <w:p>
            <w:r>
              <w:t xml:space="preserve">Peer/sector comparison mode</w:t>
            </w:r>
          </w:p>
        </w:tc>
        <w:tc>
          <w:tcPr>
            <w:tcW w:type="dxa" w:w="4650"/>
            <w:tcMar>
              <w:top w:type="dxa" w:w="90"/>
              <w:left w:type="dxa" w:w="120"/>
              <w:bottom w:type="dxa" w:w="90"/>
              <w:right w:type="dxa" w:w="120"/>
            </w:tcMar>
          </w:tcPr>
          <w:p>
            <w:r>
              <w:t xml:space="preserve">Auto-compare queried stock against 3–4 sector peers on price regime + sentiment</w:t>
            </w:r>
          </w:p>
        </w:tc>
        <w:tc>
          <w:tcPr>
            <w:tcW w:type="dxa" w:w="1900"/>
            <w:tcMar>
              <w:top w:type="dxa" w:w="90"/>
              <w:left w:type="dxa" w:w="120"/>
              <w:bottom w:type="dxa" w:w="90"/>
              <w:right w:type="dxa" w:w="120"/>
            </w:tcMar>
          </w:tcPr>
          <w:p>
            <w:r>
              <w:t xml:space="preserve">C</w:t>
            </w:r>
          </w:p>
        </w:tc>
      </w:tr>
      <w:tr>
        <w:tc>
          <w:tcPr>
            <w:tcW w:type="dxa" w:w="500"/>
            <w:tcMar>
              <w:top w:type="dxa" w:w="90"/>
              <w:left w:type="dxa" w:w="120"/>
              <w:bottom w:type="dxa" w:w="90"/>
              <w:right w:type="dxa" w:w="120"/>
            </w:tcMar>
          </w:tcPr>
          <w:p>
            <w:r>
              <w:t xml:space="preserve">5</w:t>
            </w:r>
          </w:p>
        </w:tc>
        <w:tc>
          <w:tcPr>
            <w:tcW w:type="dxa" w:w="2300"/>
            <w:tcMar>
              <w:top w:type="dxa" w:w="90"/>
              <w:left w:type="dxa" w:w="120"/>
              <w:bottom w:type="dxa" w:w="90"/>
              <w:right w:type="dxa" w:w="120"/>
            </w:tcMar>
          </w:tcPr>
          <w:p>
            <w:r>
              <w:t xml:space="preserve">Signal agreement indicator</w:t>
            </w:r>
          </w:p>
        </w:tc>
        <w:tc>
          <w:tcPr>
            <w:tcW w:type="dxa" w:w="4650"/>
            <w:tcMar>
              <w:top w:type="dxa" w:w="90"/>
              <w:left w:type="dxa" w:w="120"/>
              <w:bottom w:type="dxa" w:w="90"/>
              <w:right w:type="dxa" w:w="120"/>
            </w:tcMar>
          </w:tcPr>
          <w:p>
            <w:r>
              <w:t xml:space="preserve">Visual badge: Aligned / Diverging / Insufficient Signal (Section 7.3)</w:t>
            </w:r>
          </w:p>
        </w:tc>
        <w:tc>
          <w:tcPr>
            <w:tcW w:type="dxa" w:w="1900"/>
            <w:tcMar>
              <w:top w:type="dxa" w:w="90"/>
              <w:left w:type="dxa" w:w="120"/>
              <w:bottom w:type="dxa" w:w="90"/>
              <w:right w:type="dxa" w:w="120"/>
            </w:tcMar>
          </w:tcPr>
          <w:p>
            <w:r>
              <w:t xml:space="preserve">B3 / D</w:t>
            </w:r>
          </w:p>
        </w:tc>
      </w:tr>
      <w:tr>
        <w:tc>
          <w:tcPr>
            <w:tcW w:type="dxa" w:w="500"/>
            <w:tcMar>
              <w:top w:type="dxa" w:w="90"/>
              <w:left w:type="dxa" w:w="120"/>
              <w:bottom w:type="dxa" w:w="90"/>
              <w:right w:type="dxa" w:w="120"/>
            </w:tcMar>
          </w:tcPr>
          <w:p>
            <w:r>
              <w:t xml:space="preserve">6</w:t>
            </w:r>
          </w:p>
        </w:tc>
        <w:tc>
          <w:tcPr>
            <w:tcW w:type="dxa" w:w="2300"/>
            <w:tcMar>
              <w:top w:type="dxa" w:w="90"/>
              <w:left w:type="dxa" w:w="120"/>
              <w:bottom w:type="dxa" w:w="90"/>
              <w:right w:type="dxa" w:w="120"/>
            </w:tcMar>
          </w:tcPr>
          <w:p>
            <w:r>
              <w:t xml:space="preserve">Explainability trail</w:t>
            </w:r>
          </w:p>
        </w:tc>
        <w:tc>
          <w:tcPr>
            <w:tcW w:type="dxa" w:w="4650"/>
            <w:tcMar>
              <w:top w:type="dxa" w:w="90"/>
              <w:left w:type="dxa" w:w="120"/>
              <w:bottom w:type="dxa" w:w="90"/>
              <w:right w:type="dxa" w:w="120"/>
            </w:tcMar>
          </w:tcPr>
          <w:p>
            <w:r>
              <w:t xml:space="preserve">Collapsible view of retrieved articles, their tags, timestamps, and ranking rationale</w:t>
            </w:r>
          </w:p>
        </w:tc>
        <w:tc>
          <w:tcPr>
            <w:tcW w:type="dxa" w:w="1900"/>
            <w:tcMar>
              <w:top w:type="dxa" w:w="90"/>
              <w:left w:type="dxa" w:w="120"/>
              <w:bottom w:type="dxa" w:w="90"/>
              <w:right w:type="dxa" w:w="120"/>
            </w:tcMar>
          </w:tcPr>
          <w:p>
            <w:r>
              <w:t xml:space="preserve">B3 / D</w:t>
            </w:r>
          </w:p>
        </w:tc>
      </w:tr>
      <w:tr>
        <w:tc>
          <w:tcPr>
            <w:tcW w:type="dxa" w:w="500"/>
            <w:tcMar>
              <w:top w:type="dxa" w:w="90"/>
              <w:left w:type="dxa" w:w="120"/>
              <w:bottom w:type="dxa" w:w="90"/>
              <w:right w:type="dxa" w:w="120"/>
            </w:tcMar>
          </w:tcPr>
          <w:p>
            <w:r>
              <w:t xml:space="preserve">7</w:t>
            </w:r>
          </w:p>
        </w:tc>
        <w:tc>
          <w:tcPr>
            <w:tcW w:type="dxa" w:w="2300"/>
            <w:tcMar>
              <w:top w:type="dxa" w:w="90"/>
              <w:left w:type="dxa" w:w="120"/>
              <w:bottom w:type="dxa" w:w="90"/>
              <w:right w:type="dxa" w:w="120"/>
            </w:tcMar>
          </w:tcPr>
          <w:p>
            <w:r>
              <w:t xml:space="preserve">Historical pattern matches</w:t>
            </w:r>
          </w:p>
        </w:tc>
        <w:tc>
          <w:tcPr>
            <w:tcW w:type="dxa" w:w="4650"/>
            <w:tcMar>
              <w:top w:type="dxa" w:w="90"/>
              <w:left w:type="dxa" w:w="120"/>
              <w:bottom w:type="dxa" w:w="90"/>
              <w:right w:type="dxa" w:w="120"/>
            </w:tcMar>
          </w:tcPr>
          <w:p>
            <w:r>
              <w:t xml:space="preserve">Nearest-neighbor past situations for this stock with transparent empirical outcomes</w:t>
            </w:r>
          </w:p>
        </w:tc>
        <w:tc>
          <w:tcPr>
            <w:tcW w:type="dxa" w:w="1900"/>
            <w:tcMar>
              <w:top w:type="dxa" w:w="90"/>
              <w:left w:type="dxa" w:w="120"/>
              <w:bottom w:type="dxa" w:w="90"/>
              <w:right w:type="dxa" w:w="120"/>
            </w:tcMar>
          </w:tcPr>
          <w:p>
            <w:r>
              <w:t xml:space="preserve">B1 / D</w:t>
            </w:r>
          </w:p>
        </w:tc>
      </w:tr>
      <w:tr>
        <w:tc>
          <w:tcPr>
            <w:tcW w:type="dxa" w:w="500"/>
            <w:tcMar>
              <w:top w:type="dxa" w:w="90"/>
              <w:left w:type="dxa" w:w="120"/>
              <w:bottom w:type="dxa" w:w="90"/>
              <w:right w:type="dxa" w:w="120"/>
            </w:tcMar>
          </w:tcPr>
          <w:p>
            <w:r>
              <w:t xml:space="preserve">8</w:t>
            </w:r>
          </w:p>
        </w:tc>
        <w:tc>
          <w:tcPr>
            <w:tcW w:type="dxa" w:w="2300"/>
            <w:tcMar>
              <w:top w:type="dxa" w:w="90"/>
              <w:left w:type="dxa" w:w="120"/>
              <w:bottom w:type="dxa" w:w="90"/>
              <w:right w:type="dxa" w:w="120"/>
            </w:tcMar>
          </w:tcPr>
          <w:p>
            <w:r>
              <w:t xml:space="preserve">Historical accuracy scoreboard</w:t>
            </w:r>
          </w:p>
        </w:tc>
        <w:tc>
          <w:tcPr>
            <w:tcW w:type="dxa" w:w="4650"/>
            <w:tcMar>
              <w:top w:type="dxa" w:w="90"/>
              <w:left w:type="dxa" w:w="120"/>
              <w:bottom w:type="dxa" w:w="90"/>
              <w:right w:type="dxa" w:w="120"/>
            </w:tcMar>
          </w:tcPr>
          <w:p>
            <w:r>
              <w:t xml:space="preserve">Public-facing stat from the backtest evaluation set (Section 9)</w:t>
            </w:r>
          </w:p>
        </w:tc>
        <w:tc>
          <w:tcPr>
            <w:tcW w:type="dxa" w:w="1900"/>
            <w:tcMar>
              <w:top w:type="dxa" w:w="90"/>
              <w:left w:type="dxa" w:w="120"/>
              <w:bottom w:type="dxa" w:w="90"/>
              <w:right w:type="dxa" w:w="120"/>
            </w:tcMar>
          </w:tcPr>
          <w:p>
            <w:r>
              <w:t xml:space="preserve">D</w:t>
            </w:r>
          </w:p>
        </w:tc>
      </w:tr>
      <w:tr>
        <w:tc>
          <w:tcPr>
            <w:tcW w:type="dxa" w:w="500"/>
            <w:tcMar>
              <w:top w:type="dxa" w:w="90"/>
              <w:left w:type="dxa" w:w="120"/>
              <w:bottom w:type="dxa" w:w="90"/>
              <w:right w:type="dxa" w:w="120"/>
            </w:tcMar>
          </w:tcPr>
          <w:p>
            <w:r>
              <w:t xml:space="preserve">9</w:t>
            </w:r>
          </w:p>
        </w:tc>
        <w:tc>
          <w:tcPr>
            <w:tcW w:type="dxa" w:w="2300"/>
            <w:tcMar>
              <w:top w:type="dxa" w:w="90"/>
              <w:left w:type="dxa" w:w="120"/>
              <w:bottom w:type="dxa" w:w="90"/>
              <w:right w:type="dxa" w:w="120"/>
            </w:tcMar>
          </w:tcPr>
          <w:p>
            <w:r>
              <w:t xml:space="preserve">Volatility/risk snapshot</w:t>
            </w:r>
          </w:p>
        </w:tc>
        <w:tc>
          <w:tcPr>
            <w:tcW w:type="dxa" w:w="4650"/>
            <w:tcMar>
              <w:top w:type="dxa" w:w="90"/>
              <w:left w:type="dxa" w:w="120"/>
              <w:bottom w:type="dxa" w:w="90"/>
              <w:right w:type="dxa" w:w="120"/>
            </w:tcMar>
          </w:tcPr>
          <w:p>
            <w:r>
              <w:t xml:space="preserve">Beta vs Nifty, historical volatility percentile per queried stock</w:t>
            </w:r>
          </w:p>
        </w:tc>
        <w:tc>
          <w:tcPr>
            <w:tcW w:type="dxa" w:w="1900"/>
            <w:tcMar>
              <w:top w:type="dxa" w:w="90"/>
              <w:left w:type="dxa" w:w="120"/>
              <w:bottom w:type="dxa" w:w="90"/>
              <w:right w:type="dxa" w:w="120"/>
            </w:tcMar>
          </w:tcPr>
          <w:p>
            <w:r>
              <w:t xml:space="preserve">C</w:t>
            </w:r>
          </w:p>
        </w:tc>
      </w:tr>
      <w:tr>
        <w:tc>
          <w:tcPr>
            <w:tcW w:type="dxa" w:w="500"/>
            <w:tcMar>
              <w:top w:type="dxa" w:w="90"/>
              <w:left w:type="dxa" w:w="120"/>
              <w:bottom w:type="dxa" w:w="90"/>
              <w:right w:type="dxa" w:w="120"/>
            </w:tcMar>
          </w:tcPr>
          <w:p>
            <w:r>
              <w:t xml:space="preserve">10</w:t>
            </w:r>
          </w:p>
        </w:tc>
        <w:tc>
          <w:tcPr>
            <w:tcW w:type="dxa" w:w="2300"/>
            <w:tcMar>
              <w:top w:type="dxa" w:w="90"/>
              <w:left w:type="dxa" w:w="120"/>
              <w:bottom w:type="dxa" w:w="90"/>
              <w:right w:type="dxa" w:w="120"/>
            </w:tcMar>
          </w:tcPr>
          <w:p>
            <w:r>
              <w:t xml:space="preserve">Report export (PDF)</w:t>
            </w:r>
          </w:p>
        </w:tc>
        <w:tc>
          <w:tcPr>
            <w:tcW w:type="dxa" w:w="4650"/>
            <w:tcMar>
              <w:top w:type="dxa" w:w="90"/>
              <w:left w:type="dxa" w:w="120"/>
              <w:bottom w:type="dxa" w:w="90"/>
              <w:right w:type="dxa" w:w="120"/>
            </w:tcMar>
          </w:tcPr>
          <w:p>
            <w:r>
              <w:t xml:space="preserve">Exportable summary of a query's chart, sentiment trend, sources, and badge</w:t>
            </w:r>
          </w:p>
        </w:tc>
        <w:tc>
          <w:tcPr>
            <w:tcW w:type="dxa" w:w="1900"/>
            <w:tcMar>
              <w:top w:type="dxa" w:w="90"/>
              <w:left w:type="dxa" w:w="120"/>
              <w:bottom w:type="dxa" w:w="90"/>
              <w:right w:type="dxa" w:w="120"/>
            </w:tcMar>
          </w:tcPr>
          <w:p>
            <w:r>
              <w:t xml:space="preserve">D</w:t>
            </w:r>
          </w:p>
        </w:tc>
      </w:tr>
    </w:tbl>
    <w:p>
      <w:pPr>
        <w:pStyle w:val="Heading1"/>
        <w:spacing w:after="160" w:before="360"/>
      </w:pPr>
      <w:r>
        <w:t xml:space="preserve">9. Evaluation Methodology</w:t>
      </w:r>
    </w:p>
    <w:p>
      <w:pPr>
        <w:pStyle w:val="ListParagraph"/>
        <w:numPr>
          <w:ilvl w:val="0"/>
          <w:numId w:val="2"/>
        </w:numPr>
        <w:spacing w:after="80"/>
      </w:pPr>
      <w:r>
        <w:t xml:space="preserve">Price-pattern classifier: accuracy/F1 on held-out time periods (not random split, to respect temporal order and avoid leakage); feature importance for interpretability.</w:t>
      </w:r>
    </w:p>
    <w:p>
      <w:pPr>
        <w:pStyle w:val="ListParagraph"/>
        <w:numPr>
          <w:ilvl w:val="0"/>
          <w:numId w:val="2"/>
        </w:numPr>
        <w:spacing w:after="80"/>
      </w:pPr>
      <w:r>
        <w:t xml:space="preserve">BERT sentiment/category model: accuracy, per-class F1, confusion matrix on a held-out labeled test set.</w:t>
      </w:r>
    </w:p>
    <w:p>
      <w:pPr>
        <w:pStyle w:val="ListParagraph"/>
        <w:numPr>
          <w:ilvl w:val="0"/>
          <w:numId w:val="2"/>
        </w:numPr>
        <w:spacing w:after="80"/>
      </w:pPr>
      <w:r>
        <w:t xml:space="preserve">Causal RAG explanations: backtest set of ~20 historical events with verifiable real-world causes; human-rated rubric (relevance, correctness, evidence-groundedness).</w:t>
      </w:r>
    </w:p>
    <w:p>
      <w:pPr>
        <w:pStyle w:val="ListParagraph"/>
        <w:numPr>
          <w:ilvl w:val="0"/>
          <w:numId w:val="2"/>
        </w:numPr>
        <w:spacing w:after="80"/>
      </w:pPr>
      <w:r>
        <w:t xml:space="preserve">Ablation studies: with vs without time-filtering in retrieval; with vs without the signal-agreement layer informing the LLM prompt.</w:t>
      </w:r>
    </w:p>
    <w:p>
      <w:pPr>
        <w:pStyle w:val="ListParagraph"/>
        <w:numPr>
          <w:ilvl w:val="0"/>
          <w:numId w:val="2"/>
        </w:numPr>
        <w:spacing w:after="80"/>
      </w:pPr>
      <w:r>
        <w:t xml:space="preserve">All model metrics reported transparently, including sample-size caveats for historical pattern-matching (e.g., “based on 6 historical instances”) rather than overstated confidence.</w:t>
      </w:r>
    </w:p>
    <w:p>
      <w:pPr>
        <w:pStyle w:val="Heading1"/>
        <w:spacing w:after="160" w:before="360"/>
      </w:pPr>
      <w:r>
        <w:t xml:space="preserve">10. Data Requirements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450"/>
        <w:gridCol w:w="3500"/>
      </w:tblGrid>
      <w:tr>
        <w:trPr>
          <w:tblHeader/>
        </w:trPr>
        <w:tc>
          <w:tcPr>
            <w:tcW w:type="dxa" w:w="2400"/>
            <w:shd w:fill="1F4E5F" w:val="clear"/>
            <w:tcMar>
              <w:top w:type="dxa" w:w="100"/>
              <w:left w:type="dxa" w:w="120"/>
              <w:bottom w:type="dxa" w:w="100"/>
              <w:right w:type="dxa" w:w="120"/>
            </w:tcMar>
          </w:tcPr>
          <w:p>
            <w:r>
              <w:rPr>
                <w:b/>
                <w:bCs/>
                <w:color w:val="FFFFFF"/>
              </w:rPr>
              <w:t xml:space="preserve">Data type</w:t>
            </w:r>
          </w:p>
        </w:tc>
        <w:tc>
          <w:tcPr>
            <w:tcW w:type="dxa" w:w="3450"/>
            <w:shd w:fill="1F4E5F" w:val="clear"/>
            <w:tcMar>
              <w:top w:type="dxa" w:w="100"/>
              <w:left w:type="dxa" w:w="120"/>
              <w:bottom w:type="dxa" w:w="100"/>
              <w:right w:type="dxa" w:w="120"/>
            </w:tcMar>
          </w:tcPr>
          <w:p>
            <w:r>
              <w:rPr>
                <w:b/>
                <w:bCs/>
                <w:color w:val="FFFFFF"/>
              </w:rPr>
              <w:t xml:space="preserve">Source</w:t>
            </w:r>
          </w:p>
        </w:tc>
        <w:tc>
          <w:tcPr>
            <w:tcW w:type="dxa" w:w="3500"/>
            <w:shd w:fill="1F4E5F" w:val="clear"/>
            <w:tcMar>
              <w:top w:type="dxa" w:w="100"/>
              <w:left w:type="dxa" w:w="120"/>
              <w:bottom w:type="dxa" w:w="100"/>
              <w:right w:type="dxa" w:w="120"/>
            </w:tcMar>
          </w:tcPr>
          <w:p>
            <w:r>
              <w:rPr>
                <w:b/>
                <w:bCs/>
                <w:color w:val="FFFFFF"/>
              </w:rPr>
              <w:t xml:space="preserve">Used by</w:t>
            </w:r>
          </w:p>
        </w:tc>
      </w:tr>
      <w:tr>
        <w:tc>
          <w:tcPr>
            <w:tcW w:type="dxa" w:w="2400"/>
            <w:tcMar>
              <w:top w:type="dxa" w:w="90"/>
              <w:left w:type="dxa" w:w="120"/>
              <w:bottom w:type="dxa" w:w="90"/>
              <w:right w:type="dxa" w:w="120"/>
            </w:tcMar>
          </w:tcPr>
          <w:p>
            <w:r>
              <w:t xml:space="preserve">Stock OHLCV (2–5 yrs)</w:t>
            </w:r>
          </w:p>
        </w:tc>
        <w:tc>
          <w:tcPr>
            <w:tcW w:type="dxa" w:w="3450"/>
            <w:tcMar>
              <w:top w:type="dxa" w:w="90"/>
              <w:left w:type="dxa" w:w="120"/>
              <w:bottom w:type="dxa" w:w="90"/>
              <w:right w:type="dxa" w:w="120"/>
            </w:tcMar>
          </w:tcPr>
          <w:p>
            <w:r>
              <w:t xml:space="preserve">NSE Security-wise Archives / UDiFF Bhavcopy, or yfinance</w:t>
            </w:r>
          </w:p>
        </w:tc>
        <w:tc>
          <w:tcPr>
            <w:tcW w:type="dxa" w:w="3500"/>
            <w:tcMar>
              <w:top w:type="dxa" w:w="90"/>
              <w:left w:type="dxa" w:w="120"/>
              <w:bottom w:type="dxa" w:w="90"/>
              <w:right w:type="dxa" w:w="120"/>
            </w:tcMar>
          </w:tcPr>
          <w:p>
            <w:r>
              <w:t xml:space="preserve">Module B1 (training), Module C (anomaly detection)</w:t>
            </w:r>
          </w:p>
        </w:tc>
      </w:tr>
      <w:tr>
        <w:tc>
          <w:tcPr>
            <w:tcW w:type="dxa" w:w="2400"/>
            <w:tcMar>
              <w:top w:type="dxa" w:w="90"/>
              <w:left w:type="dxa" w:w="120"/>
              <w:bottom w:type="dxa" w:w="90"/>
              <w:right w:type="dxa" w:w="120"/>
            </w:tcMar>
          </w:tcPr>
          <w:p>
            <w:r>
              <w:t xml:space="preserve">Mutual fund NAV</w:t>
            </w:r>
          </w:p>
        </w:tc>
        <w:tc>
          <w:tcPr>
            <w:tcW w:type="dxa" w:w="3450"/>
            <w:tcMar>
              <w:top w:type="dxa" w:w="90"/>
              <w:left w:type="dxa" w:w="120"/>
              <w:bottom w:type="dxa" w:w="90"/>
              <w:right w:type="dxa" w:w="120"/>
            </w:tcMar>
          </w:tcPr>
          <w:p>
            <w:r>
              <w:t xml:space="preserve">mfapi.in</w:t>
            </w:r>
          </w:p>
        </w:tc>
        <w:tc>
          <w:tcPr>
            <w:tcW w:type="dxa" w:w="3500"/>
            <w:tcMar>
              <w:top w:type="dxa" w:w="90"/>
              <w:left w:type="dxa" w:w="120"/>
              <w:bottom w:type="dxa" w:w="90"/>
              <w:right w:type="dxa" w:w="120"/>
            </w:tcMar>
          </w:tcPr>
          <w:p>
            <w:r>
              <w:t xml:space="preserve">Module A / C</w:t>
            </w:r>
          </w:p>
        </w:tc>
      </w:tr>
      <w:tr>
        <w:tc>
          <w:tcPr>
            <w:tcW w:type="dxa" w:w="2400"/>
            <w:tcMar>
              <w:top w:type="dxa" w:w="90"/>
              <w:left w:type="dxa" w:w="120"/>
              <w:bottom w:type="dxa" w:w="90"/>
              <w:right w:type="dxa" w:w="120"/>
            </w:tcMar>
          </w:tcPr>
          <w:p>
            <w:r>
              <w:t xml:space="preserve">Index/benchmark</w:t>
            </w:r>
          </w:p>
        </w:tc>
        <w:tc>
          <w:tcPr>
            <w:tcW w:type="dxa" w:w="3450"/>
            <w:tcMar>
              <w:top w:type="dxa" w:w="90"/>
              <w:left w:type="dxa" w:w="120"/>
              <w:bottom w:type="dxa" w:w="90"/>
              <w:right w:type="dxa" w:w="120"/>
            </w:tcMar>
          </w:tcPr>
          <w:p>
            <w:r>
              <w:t xml:space="preserve">Nifty 50, sector indices (niftyindices.com)</w:t>
            </w:r>
          </w:p>
        </w:tc>
        <w:tc>
          <w:tcPr>
            <w:tcW w:type="dxa" w:w="3500"/>
            <w:tcMar>
              <w:top w:type="dxa" w:w="90"/>
              <w:left w:type="dxa" w:w="120"/>
              <w:bottom w:type="dxa" w:w="90"/>
              <w:right w:type="dxa" w:w="120"/>
            </w:tcMar>
          </w:tcPr>
          <w:p>
            <w:r>
              <w:t xml:space="preserve">Module C (excess return calc)</w:t>
            </w:r>
          </w:p>
        </w:tc>
      </w:tr>
      <w:tr>
        <w:tc>
          <w:tcPr>
            <w:tcW w:type="dxa" w:w="2400"/>
            <w:tcMar>
              <w:top w:type="dxa" w:w="90"/>
              <w:left w:type="dxa" w:w="120"/>
              <w:bottom w:type="dxa" w:w="90"/>
              <w:right w:type="dxa" w:w="120"/>
            </w:tcMar>
          </w:tcPr>
          <w:p>
            <w:r>
              <w:t xml:space="preserve">News/social text</w:t>
            </w:r>
          </w:p>
        </w:tc>
        <w:tc>
          <w:tcPr>
            <w:tcW w:type="dxa" w:w="3450"/>
            <w:tcMar>
              <w:top w:type="dxa" w:w="90"/>
              <w:left w:type="dxa" w:w="120"/>
              <w:bottom w:type="dxa" w:w="90"/>
              <w:right w:type="dxa" w:w="120"/>
            </w:tcMar>
          </w:tcPr>
          <w:p>
            <w:r>
              <w:t xml:space="preserve">NewsAPI, RSS, financial portals</w:t>
            </w:r>
          </w:p>
        </w:tc>
        <w:tc>
          <w:tcPr>
            <w:tcW w:type="dxa" w:w="3500"/>
            <w:tcMar>
              <w:top w:type="dxa" w:w="90"/>
              <w:left w:type="dxa" w:w="120"/>
              <w:bottom w:type="dxa" w:w="90"/>
              <w:right w:type="dxa" w:w="120"/>
            </w:tcMar>
          </w:tcPr>
          <w:p>
            <w:r>
              <w:t xml:space="preserve">Module B2 (fine-tuning + inference), Module B3 (RAG corpus)</w:t>
            </w:r>
          </w:p>
        </w:tc>
      </w:tr>
      <w:tr>
        <w:tc>
          <w:tcPr>
            <w:tcW w:type="dxa" w:w="2400"/>
            <w:tcMar>
              <w:top w:type="dxa" w:w="90"/>
              <w:left w:type="dxa" w:w="120"/>
              <w:bottom w:type="dxa" w:w="90"/>
              <w:right w:type="dxa" w:w="120"/>
            </w:tcMar>
          </w:tcPr>
          <w:p>
            <w:r>
              <w:t xml:space="preserve">Entity/sector mapping</w:t>
            </w:r>
          </w:p>
        </w:tc>
        <w:tc>
          <w:tcPr>
            <w:tcW w:type="dxa" w:w="3450"/>
            <w:tcMar>
              <w:top w:type="dxa" w:w="90"/>
              <w:left w:type="dxa" w:w="120"/>
              <w:bottom w:type="dxa" w:w="90"/>
              <w:right w:type="dxa" w:w="120"/>
            </w:tcMar>
          </w:tcPr>
          <w:p>
            <w:r>
              <w:t xml:space="preserve">Manually curated + public filings</w:t>
            </w:r>
          </w:p>
        </w:tc>
        <w:tc>
          <w:tcPr>
            <w:tcW w:type="dxa" w:w="3500"/>
            <w:tcMar>
              <w:top w:type="dxa" w:w="90"/>
              <w:left w:type="dxa" w:w="120"/>
              <w:bottom w:type="dxa" w:w="90"/>
              <w:right w:type="dxa" w:w="120"/>
            </w:tcMar>
          </w:tcPr>
          <w:p>
            <w:r>
              <w:t xml:space="preserve">Module A, feeds B3 retrieval boosting</w:t>
            </w:r>
          </w:p>
        </w:tc>
      </w:tr>
      <w:tr>
        <w:tc>
          <w:tcPr>
            <w:tcW w:type="dxa" w:w="2400"/>
            <w:tcMar>
              <w:top w:type="dxa" w:w="90"/>
              <w:left w:type="dxa" w:w="120"/>
              <w:bottom w:type="dxa" w:w="90"/>
              <w:right w:type="dxa" w:w="120"/>
            </w:tcMar>
          </w:tcPr>
          <w:p>
            <w:r>
              <w:t xml:space="preserve">Event calendar</w:t>
            </w:r>
          </w:p>
        </w:tc>
        <w:tc>
          <w:tcPr>
            <w:tcW w:type="dxa" w:w="3450"/>
            <w:tcMar>
              <w:top w:type="dxa" w:w="90"/>
              <w:left w:type="dxa" w:w="120"/>
              <w:bottom w:type="dxa" w:w="90"/>
              <w:right w:type="dxa" w:w="120"/>
            </w:tcMar>
          </w:tcPr>
          <w:p>
            <w:r>
              <w:t xml:space="preserve">Company filings, RBI/budget calendars</w:t>
            </w:r>
          </w:p>
        </w:tc>
        <w:tc>
          <w:tcPr>
            <w:tcW w:type="dxa" w:w="3500"/>
            <w:tcMar>
              <w:top w:type="dxa" w:w="90"/>
              <w:left w:type="dxa" w:w="120"/>
              <w:bottom w:type="dxa" w:w="90"/>
              <w:right w:type="dxa" w:w="120"/>
            </w:tcMar>
          </w:tcPr>
          <w:p>
            <w:r>
              <w:t xml:space="preserve">Side Feature 3</w:t>
            </w:r>
          </w:p>
        </w:tc>
      </w:tr>
      <w:tr>
        <w:tc>
          <w:tcPr>
            <w:tcW w:type="dxa" w:w="2400"/>
            <w:tcMar>
              <w:top w:type="dxa" w:w="90"/>
              <w:left w:type="dxa" w:w="120"/>
              <w:bottom w:type="dxa" w:w="90"/>
              <w:right w:type="dxa" w:w="120"/>
            </w:tcMar>
          </w:tcPr>
          <w:p>
            <w:r>
              <w:t xml:space="preserve">Labeled sentiment/category dataset</w:t>
            </w:r>
          </w:p>
        </w:tc>
        <w:tc>
          <w:tcPr>
            <w:tcW w:type="dxa" w:w="3450"/>
            <w:tcMar>
              <w:top w:type="dxa" w:w="90"/>
              <w:left w:type="dxa" w:w="120"/>
              <w:bottom w:type="dxa" w:w="90"/>
              <w:right w:type="dxa" w:w="120"/>
            </w:tcMar>
          </w:tcPr>
          <w:p>
            <w:r>
              <w:t xml:space="preserve">Team-labeled, LLM-bootstrapped</w:t>
            </w:r>
          </w:p>
        </w:tc>
        <w:tc>
          <w:tcPr>
            <w:tcW w:type="dxa" w:w="3500"/>
            <w:tcMar>
              <w:top w:type="dxa" w:w="90"/>
              <w:left w:type="dxa" w:w="120"/>
              <w:bottom w:type="dxa" w:w="90"/>
              <w:right w:type="dxa" w:w="120"/>
            </w:tcMar>
          </w:tcPr>
          <w:p>
            <w:r>
              <w:t xml:space="preserve">Module B2 fine-tuning</w:t>
            </w:r>
          </w:p>
        </w:tc>
      </w:tr>
    </w:tbl>
    <w:p>
      <w:pPr>
        <w:pStyle w:val="Heading1"/>
        <w:spacing w:after="160" w:before="360"/>
      </w:pPr>
      <w:r>
        <w:t xml:space="preserve">11. Proposed Timeline (15 Weeks)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350"/>
      </w:tblGrid>
      <w:tr>
        <w:trPr>
          <w:tblHeader/>
        </w:trPr>
        <w:tc>
          <w:tcPr>
            <w:tcW w:type="dxa" w:w="3600"/>
            <w:shd w:fill="1F4E5F" w:val="clear"/>
            <w:tcMar>
              <w:top w:type="dxa" w:w="100"/>
              <w:left w:type="dxa" w:w="120"/>
              <w:bottom w:type="dxa" w:w="100"/>
              <w:right w:type="dxa" w:w="120"/>
            </w:tcMar>
          </w:tcPr>
          <w:p>
            <w:r>
              <w:rPr>
                <w:b/>
                <w:bCs/>
                <w:color w:val="FFFFFF"/>
              </w:rPr>
              <w:t xml:space="preserve">Phase</w:t>
            </w:r>
          </w:p>
        </w:tc>
        <w:tc>
          <w:tcPr>
            <w:tcW w:type="dxa" w:w="1400"/>
            <w:shd w:fill="1F4E5F" w:val="clear"/>
            <w:tcMar>
              <w:top w:type="dxa" w:w="100"/>
              <w:left w:type="dxa" w:w="120"/>
              <w:bottom w:type="dxa" w:w="100"/>
              <w:right w:type="dxa" w:w="120"/>
            </w:tcMar>
          </w:tcPr>
          <w:p>
            <w:r>
              <w:rPr>
                <w:b/>
                <w:bCs/>
                <w:color w:val="FFFFFF"/>
              </w:rPr>
              <w:t xml:space="preserve">Weeks</w:t>
            </w:r>
          </w:p>
        </w:tc>
        <w:tc>
          <w:tcPr>
            <w:tcW w:type="dxa" w:w="4350"/>
            <w:shd w:fill="1F4E5F" w:val="clear"/>
            <w:tcMar>
              <w:top w:type="dxa" w:w="100"/>
              <w:left w:type="dxa" w:w="120"/>
              <w:bottom w:type="dxa" w:w="100"/>
              <w:right w:type="dxa" w:w="120"/>
            </w:tcMar>
          </w:tcPr>
          <w:p>
            <w:r>
              <w:rPr>
                <w:b/>
                <w:bCs/>
                <w:color w:val="FFFFFF"/>
              </w:rPr>
              <w:t xml:space="preserve">Deliverable</w:t>
            </w:r>
          </w:p>
        </w:tc>
      </w:tr>
      <w:tr>
        <w:tc>
          <w:tcPr>
            <w:tcW w:type="dxa" w:w="3600"/>
            <w:tcMar>
              <w:top w:type="dxa" w:w="90"/>
              <w:left w:type="dxa" w:w="120"/>
              <w:bottom w:type="dxa" w:w="90"/>
              <w:right w:type="dxa" w:w="120"/>
            </w:tcMar>
          </w:tcPr>
          <w:p>
            <w:r>
              <w:t xml:space="preserve">Literature review, scope finalization</w:t>
            </w:r>
          </w:p>
        </w:tc>
        <w:tc>
          <w:tcPr>
            <w:tcW w:type="dxa" w:w="1400"/>
            <w:tcMar>
              <w:top w:type="dxa" w:w="90"/>
              <w:left w:type="dxa" w:w="120"/>
              <w:bottom w:type="dxa" w:w="90"/>
              <w:right w:type="dxa" w:w="120"/>
            </w:tcMar>
          </w:tcPr>
          <w:p>
            <w:r>
              <w:t xml:space="preserve">1–2</w:t>
            </w:r>
          </w:p>
        </w:tc>
        <w:tc>
          <w:tcPr>
            <w:tcW w:type="dxa" w:w="4350"/>
            <w:tcMar>
              <w:top w:type="dxa" w:w="90"/>
              <w:left w:type="dxa" w:w="120"/>
              <w:bottom w:type="dxa" w:w="90"/>
              <w:right w:type="dxa" w:w="120"/>
            </w:tcMar>
          </w:tcPr>
          <w:p>
            <w:r>
              <w:t xml:space="preserve">SRS / proposal document</w:t>
            </w:r>
          </w:p>
        </w:tc>
      </w:tr>
      <w:tr>
        <w:tc>
          <w:tcPr>
            <w:tcW w:type="dxa" w:w="3600"/>
            <w:tcMar>
              <w:top w:type="dxa" w:w="90"/>
              <w:left w:type="dxa" w:w="120"/>
              <w:bottom w:type="dxa" w:w="90"/>
              <w:right w:type="dxa" w:w="120"/>
            </w:tcMar>
          </w:tcPr>
          <w:p>
            <w:r>
              <w:t xml:space="preserve">Data pipeline, entity mapping, event calendar</w:t>
            </w:r>
          </w:p>
        </w:tc>
        <w:tc>
          <w:tcPr>
            <w:tcW w:type="dxa" w:w="1400"/>
            <w:tcMar>
              <w:top w:type="dxa" w:w="90"/>
              <w:left w:type="dxa" w:w="120"/>
              <w:bottom w:type="dxa" w:w="90"/>
              <w:right w:type="dxa" w:w="120"/>
            </w:tcMar>
          </w:tcPr>
          <w:p>
            <w:r>
              <w:t xml:space="preserve">3–5</w:t>
            </w:r>
          </w:p>
        </w:tc>
        <w:tc>
          <w:tcPr>
            <w:tcW w:type="dxa" w:w="4350"/>
            <w:tcMar>
              <w:top w:type="dxa" w:w="90"/>
              <w:left w:type="dxa" w:w="120"/>
              <w:bottom w:type="dxa" w:w="90"/>
              <w:right w:type="dxa" w:w="120"/>
            </w:tcMar>
          </w:tcPr>
          <w:p>
            <w:r>
              <w:t xml:space="preserve">Populated, validated database</w:t>
            </w:r>
          </w:p>
        </w:tc>
      </w:tr>
      <w:tr>
        <w:tc>
          <w:tcPr>
            <w:tcW w:type="dxa" w:w="3600"/>
            <w:tcMar>
              <w:top w:type="dxa" w:w="90"/>
              <w:left w:type="dxa" w:w="120"/>
              <w:bottom w:type="dxa" w:w="90"/>
              <w:right w:type="dxa" w:w="120"/>
            </w:tcMar>
          </w:tcPr>
          <w:p>
            <w:r>
              <w:t xml:space="preserve">Price-pattern classifier (B1) + anomaly detection (C)</w:t>
            </w:r>
          </w:p>
        </w:tc>
        <w:tc>
          <w:tcPr>
            <w:tcW w:type="dxa" w:w="1400"/>
            <w:tcMar>
              <w:top w:type="dxa" w:w="90"/>
              <w:left w:type="dxa" w:w="120"/>
              <w:bottom w:type="dxa" w:w="90"/>
              <w:right w:type="dxa" w:w="120"/>
            </w:tcMar>
          </w:tcPr>
          <w:p>
            <w:r>
              <w:t xml:space="preserve">4–7</w:t>
            </w:r>
          </w:p>
        </w:tc>
        <w:tc>
          <w:tcPr>
            <w:tcW w:type="dxa" w:w="4350"/>
            <w:tcMar>
              <w:top w:type="dxa" w:w="90"/>
              <w:left w:type="dxa" w:w="120"/>
              <w:bottom w:type="dxa" w:w="90"/>
              <w:right w:type="dxa" w:w="120"/>
            </w:tcMar>
          </w:tcPr>
          <w:p>
            <w:r>
              <w:t xml:space="preserve">Regime classifier + anomaly windows working</w:t>
            </w:r>
          </w:p>
        </w:tc>
      </w:tr>
      <w:tr>
        <w:tc>
          <w:tcPr>
            <w:tcW w:type="dxa" w:w="3600"/>
            <w:tcMar>
              <w:top w:type="dxa" w:w="90"/>
              <w:left w:type="dxa" w:w="120"/>
              <w:bottom w:type="dxa" w:w="90"/>
              <w:right w:type="dxa" w:w="120"/>
            </w:tcMar>
          </w:tcPr>
          <w:p>
            <w:r>
              <w:t xml:space="preserve">BERT fine-tuning + labeling (B2)</w:t>
            </w:r>
          </w:p>
        </w:tc>
        <w:tc>
          <w:tcPr>
            <w:tcW w:type="dxa" w:w="1400"/>
            <w:tcMar>
              <w:top w:type="dxa" w:w="90"/>
              <w:left w:type="dxa" w:w="120"/>
              <w:bottom w:type="dxa" w:w="90"/>
              <w:right w:type="dxa" w:w="120"/>
            </w:tcMar>
          </w:tcPr>
          <w:p>
            <w:r>
              <w:t xml:space="preserve">4–8</w:t>
            </w:r>
          </w:p>
        </w:tc>
        <w:tc>
          <w:tcPr>
            <w:tcW w:type="dxa" w:w="4350"/>
            <w:tcMar>
              <w:top w:type="dxa" w:w="90"/>
              <w:left w:type="dxa" w:w="120"/>
              <w:bottom w:type="dxa" w:w="90"/>
              <w:right w:type="dxa" w:w="120"/>
            </w:tcMar>
          </w:tcPr>
          <w:p>
            <w:r>
              <w:t xml:space="preserve">Sentiment/category model with reported metrics</w:t>
            </w:r>
          </w:p>
        </w:tc>
      </w:tr>
      <w:tr>
        <w:tc>
          <w:tcPr>
            <w:tcW w:type="dxa" w:w="3600"/>
            <w:tcMar>
              <w:top w:type="dxa" w:w="90"/>
              <w:left w:type="dxa" w:w="120"/>
              <w:bottom w:type="dxa" w:w="90"/>
              <w:right w:type="dxa" w:w="120"/>
            </w:tcMar>
          </w:tcPr>
          <w:p>
            <w:r>
              <w:t xml:space="preserve">Signal fusion + RAG synthesis (B3)</w:t>
            </w:r>
          </w:p>
        </w:tc>
        <w:tc>
          <w:tcPr>
            <w:tcW w:type="dxa" w:w="1400"/>
            <w:tcMar>
              <w:top w:type="dxa" w:w="90"/>
              <w:left w:type="dxa" w:w="120"/>
              <w:bottom w:type="dxa" w:w="90"/>
              <w:right w:type="dxa" w:w="120"/>
            </w:tcMar>
          </w:tcPr>
          <w:p>
            <w:r>
              <w:t xml:space="preserve">7–9</w:t>
            </w:r>
          </w:p>
        </w:tc>
        <w:tc>
          <w:tcPr>
            <w:tcW w:type="dxa" w:w="4350"/>
            <w:tcMar>
              <w:top w:type="dxa" w:w="90"/>
              <w:left w:type="dxa" w:w="120"/>
              <w:bottom w:type="dxa" w:w="90"/>
              <w:right w:type="dxa" w:w="120"/>
            </w:tcMar>
          </w:tcPr>
          <w:p>
            <w:r>
              <w:t xml:space="preserve">End-to-end causal explanation with agreement badge</w:t>
            </w:r>
          </w:p>
        </w:tc>
      </w:tr>
      <w:tr>
        <w:tc>
          <w:tcPr>
            <w:tcW w:type="dxa" w:w="3600"/>
            <w:tcMar>
              <w:top w:type="dxa" w:w="90"/>
              <w:left w:type="dxa" w:w="120"/>
              <w:bottom w:type="dxa" w:w="90"/>
              <w:right w:type="dxa" w:w="120"/>
            </w:tcMar>
          </w:tcPr>
          <w:p>
            <w:r>
              <w:t xml:space="preserve">API integration + comparison/portfolio features</w:t>
            </w:r>
          </w:p>
        </w:tc>
        <w:tc>
          <w:tcPr>
            <w:tcW w:type="dxa" w:w="1400"/>
            <w:tcMar>
              <w:top w:type="dxa" w:w="90"/>
              <w:left w:type="dxa" w:w="120"/>
              <w:bottom w:type="dxa" w:w="90"/>
              <w:right w:type="dxa" w:w="120"/>
            </w:tcMar>
          </w:tcPr>
          <w:p>
            <w:r>
              <w:t xml:space="preserve">8–10</w:t>
            </w:r>
          </w:p>
        </w:tc>
        <w:tc>
          <w:tcPr>
            <w:tcW w:type="dxa" w:w="4350"/>
            <w:tcMar>
              <w:top w:type="dxa" w:w="90"/>
              <w:left w:type="dxa" w:w="120"/>
              <w:bottom w:type="dxa" w:w="90"/>
              <w:right w:type="dxa" w:w="120"/>
            </w:tcMar>
          </w:tcPr>
          <w:p>
            <w:r>
              <w:t xml:space="preserve">Backend endpoints live</w:t>
            </w:r>
          </w:p>
        </w:tc>
      </w:tr>
      <w:tr>
        <w:tc>
          <w:tcPr>
            <w:tcW w:type="dxa" w:w="3600"/>
            <w:tcMar>
              <w:top w:type="dxa" w:w="90"/>
              <w:left w:type="dxa" w:w="120"/>
              <w:bottom w:type="dxa" w:w="90"/>
              <w:right w:type="dxa" w:w="120"/>
            </w:tcMar>
          </w:tcPr>
          <w:p>
            <w:r>
              <w:t xml:space="preserve">Frontend + side features + integration</w:t>
            </w:r>
          </w:p>
        </w:tc>
        <w:tc>
          <w:tcPr>
            <w:tcW w:type="dxa" w:w="1400"/>
            <w:tcMar>
              <w:top w:type="dxa" w:w="90"/>
              <w:left w:type="dxa" w:w="120"/>
              <w:bottom w:type="dxa" w:w="90"/>
              <w:right w:type="dxa" w:w="120"/>
            </w:tcMar>
          </w:tcPr>
          <w:p>
            <w:r>
              <w:t xml:space="preserve">10–12</w:t>
            </w:r>
          </w:p>
        </w:tc>
        <w:tc>
          <w:tcPr>
            <w:tcW w:type="dxa" w:w="4350"/>
            <w:tcMar>
              <w:top w:type="dxa" w:w="90"/>
              <w:left w:type="dxa" w:w="120"/>
              <w:bottom w:type="dxa" w:w="90"/>
              <w:right w:type="dxa" w:w="120"/>
            </w:tcMar>
          </w:tcPr>
          <w:p>
            <w:r>
              <w:t xml:space="preserve">End-to-end demo, all side features wired</w:t>
            </w:r>
          </w:p>
        </w:tc>
      </w:tr>
      <w:tr>
        <w:tc>
          <w:tcPr>
            <w:tcW w:type="dxa" w:w="3600"/>
            <w:tcMar>
              <w:top w:type="dxa" w:w="90"/>
              <w:left w:type="dxa" w:w="120"/>
              <w:bottom w:type="dxa" w:w="90"/>
              <w:right w:type="dxa" w:w="120"/>
            </w:tcMar>
          </w:tcPr>
          <w:p>
            <w:r>
              <w:t xml:space="preserve">Evaluation, backtesting, ablations</w:t>
            </w:r>
          </w:p>
        </w:tc>
        <w:tc>
          <w:tcPr>
            <w:tcW w:type="dxa" w:w="1400"/>
            <w:tcMar>
              <w:top w:type="dxa" w:w="90"/>
              <w:left w:type="dxa" w:w="120"/>
              <w:bottom w:type="dxa" w:w="90"/>
              <w:right w:type="dxa" w:w="120"/>
            </w:tcMar>
          </w:tcPr>
          <w:p>
            <w:r>
              <w:t xml:space="preserve">12–14</w:t>
            </w:r>
          </w:p>
        </w:tc>
        <w:tc>
          <w:tcPr>
            <w:tcW w:type="dxa" w:w="4350"/>
            <w:tcMar>
              <w:top w:type="dxa" w:w="90"/>
              <w:left w:type="dxa" w:w="120"/>
              <w:bottom w:type="dxa" w:w="90"/>
              <w:right w:type="dxa" w:w="120"/>
            </w:tcMar>
          </w:tcPr>
          <w:p>
            <w:r>
              <w:t xml:space="preserve">Full evaluation report</w:t>
            </w:r>
          </w:p>
        </w:tc>
      </w:tr>
      <w:tr>
        <w:tc>
          <w:tcPr>
            <w:tcW w:type="dxa" w:w="3600"/>
            <w:tcMar>
              <w:top w:type="dxa" w:w="90"/>
              <w:left w:type="dxa" w:w="120"/>
              <w:bottom w:type="dxa" w:w="90"/>
              <w:right w:type="dxa" w:w="120"/>
            </w:tcMar>
          </w:tcPr>
          <w:p>
            <w:r>
              <w:t xml:space="preserve">Report writing, viva prep, buffer</w:t>
            </w:r>
          </w:p>
        </w:tc>
        <w:tc>
          <w:tcPr>
            <w:tcW w:type="dxa" w:w="1400"/>
            <w:tcMar>
              <w:top w:type="dxa" w:w="90"/>
              <w:left w:type="dxa" w:w="120"/>
              <w:bottom w:type="dxa" w:w="90"/>
              <w:right w:type="dxa" w:w="120"/>
            </w:tcMar>
          </w:tcPr>
          <w:p>
            <w:r>
              <w:t xml:space="preserve">14–15</w:t>
            </w:r>
          </w:p>
        </w:tc>
        <w:tc>
          <w:tcPr>
            <w:tcW w:type="dxa" w:w="4350"/>
            <w:tcMar>
              <w:top w:type="dxa" w:w="90"/>
              <w:left w:type="dxa" w:w="120"/>
              <w:bottom w:type="dxa" w:w="90"/>
              <w:right w:type="dxa" w:w="120"/>
            </w:tcMar>
          </w:tcPr>
          <w:p>
            <w:r>
              <w:t xml:space="preserve">Final submission</w:t>
            </w:r>
          </w:p>
        </w:tc>
      </w:tr>
    </w:tbl>
    <w:p>
      <w:pPr>
        <w:pStyle w:val="Heading1"/>
        <w:spacing w:after="160" w:before="360"/>
      </w:pPr>
      <w:r>
        <w:t xml:space="preserve">12. Risks and Mitigation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00"/>
        <w:gridCol w:w="4750"/>
      </w:tblGrid>
      <w:tr>
        <w:trPr>
          <w:tblHeader/>
        </w:trPr>
        <w:tc>
          <w:tcPr>
            <w:tcW w:type="dxa" w:w="4600"/>
            <w:shd w:fill="1F4E5F" w:val="clear"/>
            <w:tcMar>
              <w:top w:type="dxa" w:w="100"/>
              <w:left w:type="dxa" w:w="120"/>
              <w:bottom w:type="dxa" w:w="100"/>
              <w:right w:type="dxa" w:w="120"/>
            </w:tcMar>
          </w:tcPr>
          <w:p>
            <w:r>
              <w:rPr>
                <w:b/>
                <w:bCs/>
                <w:color w:val="FFFFFF"/>
              </w:rPr>
              <w:t xml:space="preserve">Risk</w:t>
            </w:r>
          </w:p>
        </w:tc>
        <w:tc>
          <w:tcPr>
            <w:tcW w:type="dxa" w:w="4750"/>
            <w:shd w:fill="1F4E5F" w:val="clear"/>
            <w:tcMar>
              <w:top w:type="dxa" w:w="100"/>
              <w:left w:type="dxa" w:w="120"/>
              <w:bottom w:type="dxa" w:w="100"/>
              <w:right w:type="dxa" w:w="120"/>
            </w:tcMar>
          </w:tcPr>
          <w:p>
            <w:r>
              <w:rPr>
                <w:b/>
                <w:bCs/>
                <w:color w:val="FFFFFF"/>
              </w:rPr>
              <w:t xml:space="preserve">Mitigation</w:t>
            </w:r>
          </w:p>
        </w:tc>
      </w:tr>
      <w:tr>
        <w:tc>
          <w:tcPr>
            <w:tcW w:type="dxa" w:w="4600"/>
            <w:tcMar>
              <w:top w:type="dxa" w:w="90"/>
              <w:left w:type="dxa" w:w="120"/>
              <w:bottom w:type="dxa" w:w="90"/>
              <w:right w:type="dxa" w:w="120"/>
            </w:tcMar>
          </w:tcPr>
          <w:p>
            <w:r>
              <w:t xml:space="preserve">Limited per-stock OHLCV data causes overfitting in B1</w:t>
            </w:r>
          </w:p>
        </w:tc>
        <w:tc>
          <w:tcPr>
            <w:tcW w:type="dxa" w:w="4750"/>
            <w:tcMar>
              <w:top w:type="dxa" w:w="90"/>
              <w:left w:type="dxa" w:w="120"/>
              <w:bottom w:type="dxa" w:w="90"/>
              <w:right w:type="dxa" w:w="120"/>
            </w:tcMar>
          </w:tcPr>
          <w:p>
            <w:r>
              <w:t xml:space="preserve">Use gradient boosting over deep sequence models; pool data across all tracked stocks; temporal (not random) train/test split</w:t>
            </w:r>
          </w:p>
        </w:tc>
      </w:tr>
      <w:tr>
        <w:tc>
          <w:tcPr>
            <w:tcW w:type="dxa" w:w="4600"/>
            <w:tcMar>
              <w:top w:type="dxa" w:w="90"/>
              <w:left w:type="dxa" w:w="120"/>
              <w:bottom w:type="dxa" w:w="90"/>
              <w:right w:type="dxa" w:w="120"/>
            </w:tcMar>
          </w:tcPr>
          <w:p>
            <w:r>
              <w:t xml:space="preserve">No ready-made labeled Indian financial sentiment dataset</w:t>
            </w:r>
          </w:p>
        </w:tc>
        <w:tc>
          <w:tcPr>
            <w:tcW w:type="dxa" w:w="4750"/>
            <w:tcMar>
              <w:top w:type="dxa" w:w="90"/>
              <w:left w:type="dxa" w:w="120"/>
              <w:bottom w:type="dxa" w:w="90"/>
              <w:right w:type="dxa" w:w="120"/>
            </w:tcMar>
          </w:tcPr>
          <w:p>
            <w:r>
              <w:t xml:space="preserve">LLM-assisted bootstrap labeling + manual team review of a sample; document methodology transparently</w:t>
            </w:r>
          </w:p>
        </w:tc>
      </w:tr>
      <w:tr>
        <w:tc>
          <w:tcPr>
            <w:tcW w:type="dxa" w:w="4600"/>
            <w:tcMar>
              <w:top w:type="dxa" w:w="90"/>
              <w:left w:type="dxa" w:w="120"/>
              <w:bottom w:type="dxa" w:w="90"/>
              <w:right w:type="dxa" w:w="120"/>
            </w:tcMar>
          </w:tcPr>
          <w:p>
            <w:r>
              <w:t xml:space="preserve">Overclaiming prediction from price or sentiment models</w:t>
            </w:r>
          </w:p>
        </w:tc>
        <w:tc>
          <w:tcPr>
            <w:tcW w:type="dxa" w:w="4750"/>
            <w:tcMar>
              <w:top w:type="dxa" w:w="90"/>
              <w:left w:type="dxa" w:w="120"/>
              <w:bottom w:type="dxa" w:w="90"/>
              <w:right w:type="dxa" w:w="120"/>
            </w:tcMar>
          </w:tcPr>
          <w:p>
            <w:r>
              <w:t xml:space="preserve">Explicit framing throughout report and UI: regime/sentiment classification and historical pattern-matching, never price or cause prediction</w:t>
            </w:r>
          </w:p>
        </w:tc>
      </w:tr>
      <w:tr>
        <w:tc>
          <w:tcPr>
            <w:tcW w:type="dxa" w:w="4600"/>
            <w:tcMar>
              <w:top w:type="dxa" w:w="90"/>
              <w:left w:type="dxa" w:w="120"/>
              <w:bottom w:type="dxa" w:w="90"/>
              <w:right w:type="dxa" w:w="120"/>
            </w:tcMar>
          </w:tcPr>
          <w:p>
            <w:r>
              <w:t xml:space="preserve">LLM hallucinates causal explanation without support</w:t>
            </w:r>
          </w:p>
        </w:tc>
        <w:tc>
          <w:tcPr>
            <w:tcW w:type="dxa" w:w="4750"/>
            <w:tcMar>
              <w:top w:type="dxa" w:w="90"/>
              <w:left w:type="dxa" w:w="120"/>
              <w:bottom w:type="dxa" w:w="90"/>
              <w:right w:type="dxa" w:w="120"/>
            </w:tcMar>
          </w:tcPr>
          <w:p>
            <w:r>
              <w:t xml:space="preserve">Hard time-filtering on retrieval, abstention instruction, confidence indicator from combined signals</w:t>
            </w:r>
          </w:p>
        </w:tc>
      </w:tr>
      <w:tr>
        <w:tc>
          <w:tcPr>
            <w:tcW w:type="dxa" w:w="4600"/>
            <w:tcMar>
              <w:top w:type="dxa" w:w="90"/>
              <w:left w:type="dxa" w:w="120"/>
              <w:bottom w:type="dxa" w:w="90"/>
              <w:right w:type="dxa" w:w="120"/>
            </w:tcMar>
          </w:tcPr>
          <w:p>
            <w:r>
              <w:t xml:space="preserve">Unofficial NSE data sources break on site changes</w:t>
            </w:r>
          </w:p>
        </w:tc>
        <w:tc>
          <w:tcPr>
            <w:tcW w:type="dxa" w:w="4750"/>
            <w:tcMar>
              <w:top w:type="dxa" w:w="90"/>
              <w:left w:type="dxa" w:w="120"/>
              <w:bottom w:type="dxa" w:w="90"/>
              <w:right w:type="dxa" w:w="120"/>
            </w:tcMar>
          </w:tcPr>
          <w:p>
            <w:r>
              <w:t xml:space="preserve">Prefer official NSE Security-wise Archives / UDiFF bhavcopy; validate against official reference periodically</w:t>
            </w:r>
          </w:p>
        </w:tc>
      </w:tr>
    </w:tbl>
    <w:p>
      <w:pPr>
        <w:pStyle w:val="Heading1"/>
        <w:spacing w:after="160" w:before="360"/>
      </w:pPr>
      <w:r>
        <w:t xml:space="preserve">13. Key Framing for the Report and Viva</w:t>
      </w:r>
    </w:p>
    <w:p>
      <w:pPr>
        <w:spacing w:after="160" w:line="300"/>
      </w:pPr>
      <w:r>
        <w:t xml:space="preserve">Three points worth stating explicitly and consistently throughout your submission: (1) the platform is a research/explanatory tool, not investment advice; (2) no component predicts future prices — the price model classifies regime and finds historical analogs, the BERT model classifies sentiment/category, and only the RAG layer over real retrieved text produces a causal explanation; (3) the signal-agreement layer between price and sentiment is deliberately designed as a cross-validation mechanism, not a black-box combination, which is a defensible, explainable design choice for a panel to evaluate. As before, verify specific library names, model licenses, and data source URLs independently as you begin implementation, since these details can change.</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2026-08-19T05:12:56.064Z</dcterms:created>
  <dcterms:modified xsi:type="dcterms:W3CDTF">2026-08-19T05:12:56.077Z</dcterms:modified>
</cp:coreProperties>
</file>

<file path=docProps/custom.xml><?xml version="1.0" encoding="utf-8"?>
<Properties xmlns="http://schemas.openxmlformats.org/officeDocument/2006/custom-properties" xmlns:vt="http://schemas.openxmlformats.org/officeDocument/2006/docPropsVTypes"/>
</file>