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693A" w14:textId="75F762B9" w:rsidR="000D02D9" w:rsidRPr="008F7FA9" w:rsidRDefault="000D02D9" w:rsidP="001F3B3B">
      <w:pPr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8F7FA9">
        <w:rPr>
          <w:rFonts w:ascii="Times New Roman" w:hAnsi="Times New Roman" w:cs="Times New Roman"/>
          <w:b/>
          <w:bCs/>
          <w:i/>
          <w:iCs/>
          <w:sz w:val="32"/>
          <w:szCs w:val="28"/>
        </w:rPr>
        <w:t>TASK 6 — EXECUTIVE SUMMARY</w:t>
      </w:r>
      <w:r w:rsidRPr="008F7FA9">
        <w:rPr>
          <w:rFonts w:ascii="Times New Roman" w:hAnsi="Times New Roman" w:cs="Times New Roman"/>
          <w:i/>
          <w:iCs/>
          <w:sz w:val="20"/>
          <w:szCs w:val="18"/>
        </w:rPr>
        <w:br/>
      </w:r>
      <w:r w:rsidRPr="008F7FA9">
        <w:rPr>
          <w:rFonts w:ascii="Times New Roman" w:hAnsi="Times New Roman" w:cs="Times New Roman"/>
          <w:b/>
          <w:bCs/>
          <w:i/>
          <w:iCs/>
        </w:rPr>
        <w:t>Gen P Technologies | Business Analytics Capstone</w:t>
      </w:r>
    </w:p>
    <w:p w14:paraId="715C328F" w14:textId="77777777" w:rsidR="00741499" w:rsidRPr="00741499" w:rsidRDefault="00741499" w:rsidP="00741499">
      <w:pPr>
        <w:rPr>
          <w:b/>
          <w:bCs/>
          <w:sz w:val="20"/>
          <w:szCs w:val="18"/>
        </w:rPr>
      </w:pPr>
      <w:r w:rsidRPr="00741499">
        <w:rPr>
          <w:b/>
          <w:bCs/>
          <w:sz w:val="20"/>
          <w:szCs w:val="18"/>
        </w:rPr>
        <w:t>Executive Overview</w:t>
      </w:r>
    </w:p>
    <w:p w14:paraId="790C912E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t>Gen P’s analysis shows pressure across the customer lifecycle, including delayed sales opportunities, differences in acquisition economics, customer activation, critical support SLA breaches and operating-cost pressure. The recommendations below focus on measurable actions that leadership can implement across Sales, Marketing, Product, Support and Finance.</w:t>
      </w:r>
    </w:p>
    <w:p w14:paraId="722A8E04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pict w14:anchorId="5BF67969">
          <v:rect id="_x0000_i1067" style="width:0;height:1.5pt" o:hralign="center" o:hrstd="t" o:hr="t" fillcolor="#a0a0a0" stroked="f"/>
        </w:pict>
      </w:r>
    </w:p>
    <w:p w14:paraId="6597167A" w14:textId="77777777" w:rsidR="00741499" w:rsidRPr="00741499" w:rsidRDefault="00741499" w:rsidP="00741499">
      <w:pPr>
        <w:rPr>
          <w:b/>
          <w:bCs/>
          <w:sz w:val="20"/>
          <w:szCs w:val="18"/>
        </w:rPr>
      </w:pPr>
      <w:r w:rsidRPr="00741499">
        <w:rPr>
          <w:b/>
          <w:bCs/>
          <w:sz w:val="20"/>
          <w:szCs w:val="18"/>
        </w:rPr>
        <w:t>1. Strengthen Sales Pipeline Discipline</w:t>
      </w:r>
    </w:p>
    <w:p w14:paraId="70463D3B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Finding &amp; Evidence:</w:t>
      </w:r>
      <w:r w:rsidRPr="00741499">
        <w:rPr>
          <w:sz w:val="20"/>
          <w:szCs w:val="18"/>
        </w:rPr>
        <w:t xml:space="preserve"> 487 closed deals were more than 30 days late. Of these, </w:t>
      </w:r>
      <w:r w:rsidRPr="00741499">
        <w:rPr>
          <w:b/>
          <w:bCs/>
          <w:sz w:val="20"/>
          <w:szCs w:val="18"/>
        </w:rPr>
        <w:t>271 eventually won and 216 were lost</w:t>
      </w:r>
      <w:r w:rsidRPr="00741499">
        <w:rPr>
          <w:sz w:val="20"/>
          <w:szCs w:val="18"/>
        </w:rPr>
        <w:t>.</w:t>
      </w:r>
    </w:p>
    <w:p w14:paraId="51A7E463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Business Impact:</w:t>
      </w:r>
      <w:r w:rsidRPr="00741499">
        <w:rPr>
          <w:sz w:val="20"/>
          <w:szCs w:val="18"/>
        </w:rPr>
        <w:t xml:space="preserve"> Delayed opportunities reduce the reliability of revenue timing and sales forecasting.</w:t>
      </w:r>
    </w:p>
    <w:p w14:paraId="30F18FCB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Action &amp; Owner:</w:t>
      </w:r>
      <w:r w:rsidRPr="00741499">
        <w:rPr>
          <w:sz w:val="20"/>
          <w:szCs w:val="18"/>
        </w:rPr>
        <w:t xml:space="preserve"> Sales Operations and Sales Managers should review aging opportunities weekly and ensure close dates and deal status are updated on time.</w:t>
      </w:r>
    </w:p>
    <w:p w14:paraId="3E2632D1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Target &amp; Timeline:</w:t>
      </w:r>
      <w:r w:rsidRPr="00741499">
        <w:rPr>
          <w:sz w:val="20"/>
          <w:szCs w:val="18"/>
        </w:rPr>
        <w:t xml:space="preserve"> Reduce deals more than 30 days late by </w:t>
      </w:r>
      <w:r w:rsidRPr="00741499">
        <w:rPr>
          <w:b/>
          <w:bCs/>
          <w:sz w:val="20"/>
          <w:szCs w:val="18"/>
        </w:rPr>
        <w:t>30% within 6 months</w:t>
      </w:r>
      <w:r w:rsidRPr="00741499">
        <w:rPr>
          <w:sz w:val="20"/>
          <w:szCs w:val="18"/>
        </w:rPr>
        <w:t>.</w:t>
      </w:r>
    </w:p>
    <w:p w14:paraId="5A784E1F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pict w14:anchorId="199C9673">
          <v:rect id="_x0000_i1068" style="width:0;height:1.5pt" o:hralign="center" o:hrstd="t" o:hr="t" fillcolor="#a0a0a0" stroked="f"/>
        </w:pict>
      </w:r>
    </w:p>
    <w:p w14:paraId="5459DF11" w14:textId="77777777" w:rsidR="00741499" w:rsidRPr="00741499" w:rsidRDefault="00741499" w:rsidP="00741499">
      <w:pPr>
        <w:rPr>
          <w:b/>
          <w:bCs/>
          <w:sz w:val="20"/>
          <w:szCs w:val="18"/>
        </w:rPr>
      </w:pPr>
      <w:r w:rsidRPr="00741499">
        <w:rPr>
          <w:b/>
          <w:bCs/>
          <w:sz w:val="20"/>
          <w:szCs w:val="18"/>
        </w:rPr>
        <w:t>2. Improve Acquisition Efficiency</w:t>
      </w:r>
    </w:p>
    <w:p w14:paraId="16CF66EB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Finding &amp; Evidence:</w:t>
      </w:r>
      <w:r w:rsidRPr="00741499">
        <w:rPr>
          <w:sz w:val="20"/>
          <w:szCs w:val="18"/>
        </w:rPr>
        <w:t xml:space="preserve"> LTV/CAC varied substantially across acquisition channels. </w:t>
      </w:r>
      <w:r w:rsidRPr="00741499">
        <w:rPr>
          <w:b/>
          <w:bCs/>
          <w:sz w:val="20"/>
          <w:szCs w:val="18"/>
        </w:rPr>
        <w:t>Product-Led Signup recorded 1,762.07</w:t>
      </w:r>
      <w:r w:rsidRPr="00741499">
        <w:rPr>
          <w:sz w:val="20"/>
          <w:szCs w:val="18"/>
        </w:rPr>
        <w:t xml:space="preserve">, compared with </w:t>
      </w:r>
      <w:r w:rsidRPr="00741499">
        <w:rPr>
          <w:b/>
          <w:bCs/>
          <w:sz w:val="20"/>
          <w:szCs w:val="18"/>
        </w:rPr>
        <w:t>204.83 for LinkedIn Ads</w:t>
      </w:r>
      <w:r w:rsidRPr="00741499">
        <w:rPr>
          <w:sz w:val="20"/>
          <w:szCs w:val="18"/>
        </w:rPr>
        <w:t>.</w:t>
      </w:r>
    </w:p>
    <w:p w14:paraId="2DAC13BF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Business Impact:</w:t>
      </w:r>
      <w:r w:rsidRPr="00741499">
        <w:rPr>
          <w:sz w:val="20"/>
          <w:szCs w:val="18"/>
        </w:rPr>
        <w:t xml:space="preserve"> Differences in channel economics affect how efficiently Gen P converts acquisition spending into customer value.</w:t>
      </w:r>
    </w:p>
    <w:p w14:paraId="3D7E6014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Action &amp; Owner:</w:t>
      </w:r>
      <w:r w:rsidRPr="00741499">
        <w:rPr>
          <w:sz w:val="20"/>
          <w:szCs w:val="18"/>
        </w:rPr>
        <w:t xml:space="preserve"> Marketing and Finance should review channel-level LTV/CAC and acquisition costs monthly and adjust future spending based on customer economics.</w:t>
      </w:r>
    </w:p>
    <w:p w14:paraId="3438A300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Target &amp; Timeline:</w:t>
      </w:r>
      <w:r w:rsidRPr="00741499">
        <w:rPr>
          <w:sz w:val="20"/>
          <w:szCs w:val="18"/>
        </w:rPr>
        <w:t xml:space="preserve"> Improve overall acquisition efficiency by </w:t>
      </w:r>
      <w:r w:rsidRPr="00741499">
        <w:rPr>
          <w:b/>
          <w:bCs/>
          <w:sz w:val="20"/>
          <w:szCs w:val="18"/>
        </w:rPr>
        <w:t>15% within 6 months</w:t>
      </w:r>
      <w:r w:rsidRPr="00741499">
        <w:rPr>
          <w:sz w:val="20"/>
          <w:szCs w:val="18"/>
        </w:rPr>
        <w:t>.</w:t>
      </w:r>
    </w:p>
    <w:p w14:paraId="7BD218A1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pict w14:anchorId="2744836F">
          <v:rect id="_x0000_i1069" style="width:0;height:1.5pt" o:hralign="center" o:hrstd="t" o:hr="t" fillcolor="#a0a0a0" stroked="f"/>
        </w:pict>
      </w:r>
    </w:p>
    <w:p w14:paraId="4607CC54" w14:textId="77777777" w:rsidR="00741499" w:rsidRPr="00741499" w:rsidRDefault="00741499" w:rsidP="00741499">
      <w:pPr>
        <w:rPr>
          <w:b/>
          <w:bCs/>
          <w:sz w:val="20"/>
          <w:szCs w:val="18"/>
        </w:rPr>
      </w:pPr>
      <w:r w:rsidRPr="00741499">
        <w:rPr>
          <w:b/>
          <w:bCs/>
          <w:sz w:val="20"/>
          <w:szCs w:val="18"/>
        </w:rPr>
        <w:t>3. Improve Customer Activation</w:t>
      </w:r>
    </w:p>
    <w:p w14:paraId="34368576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Finding &amp; Evidence:</w:t>
      </w:r>
      <w:r w:rsidRPr="00741499">
        <w:rPr>
          <w:sz w:val="20"/>
          <w:szCs w:val="18"/>
        </w:rPr>
        <w:t xml:space="preserve"> Statistical analysis found that </w:t>
      </w:r>
      <w:r w:rsidRPr="00741499">
        <w:rPr>
          <w:b/>
          <w:bCs/>
          <w:sz w:val="20"/>
          <w:szCs w:val="18"/>
        </w:rPr>
        <w:t>In-App Nudge acquisition had a higher activation rate than non-In-App acquisition: 24.33% vs 16.09% (p &lt; 0.001)</w:t>
      </w:r>
      <w:r w:rsidRPr="00741499">
        <w:rPr>
          <w:sz w:val="20"/>
          <w:szCs w:val="18"/>
        </w:rPr>
        <w:t>.</w:t>
      </w:r>
    </w:p>
    <w:p w14:paraId="2AAADCA1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Business Impact:</w:t>
      </w:r>
      <w:r w:rsidRPr="00741499">
        <w:rPr>
          <w:sz w:val="20"/>
          <w:szCs w:val="18"/>
        </w:rPr>
        <w:t xml:space="preserve"> Higher activation can help customers reach product value earlier and support stronger engagement.</w:t>
      </w:r>
    </w:p>
    <w:p w14:paraId="77DEE161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Action &amp; Owner:</w:t>
      </w:r>
      <w:r w:rsidRPr="00741499">
        <w:rPr>
          <w:sz w:val="20"/>
          <w:szCs w:val="18"/>
        </w:rPr>
        <w:t xml:space="preserve"> Product and Growth teams should test and expand effective in-app onboarding and nudge journeys for suitable customer segments.</w:t>
      </w:r>
    </w:p>
    <w:p w14:paraId="3C793EB9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Target &amp; Timeline:</w:t>
      </w:r>
      <w:r w:rsidRPr="00741499">
        <w:rPr>
          <w:sz w:val="20"/>
          <w:szCs w:val="18"/>
        </w:rPr>
        <w:t xml:space="preserve"> Increase the overall activation rate by </w:t>
      </w:r>
      <w:r w:rsidRPr="00741499">
        <w:rPr>
          <w:b/>
          <w:bCs/>
          <w:sz w:val="20"/>
          <w:szCs w:val="18"/>
        </w:rPr>
        <w:t>10% within 6 months</w:t>
      </w:r>
      <w:r w:rsidRPr="00741499">
        <w:rPr>
          <w:sz w:val="20"/>
          <w:szCs w:val="18"/>
        </w:rPr>
        <w:t>.</w:t>
      </w:r>
    </w:p>
    <w:p w14:paraId="12681C0C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Important:</w:t>
      </w:r>
      <w:r w:rsidRPr="00741499">
        <w:rPr>
          <w:sz w:val="20"/>
          <w:szCs w:val="18"/>
        </w:rPr>
        <w:t xml:space="preserve"> This finding uses the statistical analysis grouping </w:t>
      </w:r>
      <w:r w:rsidRPr="00741499">
        <w:rPr>
          <w:b/>
          <w:bCs/>
          <w:sz w:val="20"/>
          <w:szCs w:val="18"/>
        </w:rPr>
        <w:t>In-App vs non-In-App</w:t>
      </w:r>
      <w:r w:rsidRPr="00741499">
        <w:rPr>
          <w:sz w:val="20"/>
          <w:szCs w:val="18"/>
        </w:rPr>
        <w:t xml:space="preserve">. It should </w:t>
      </w:r>
      <w:r w:rsidRPr="00741499">
        <w:rPr>
          <w:b/>
          <w:bCs/>
          <w:sz w:val="20"/>
          <w:szCs w:val="18"/>
        </w:rPr>
        <w:t>not</w:t>
      </w:r>
      <w:r w:rsidRPr="00741499">
        <w:rPr>
          <w:sz w:val="20"/>
          <w:szCs w:val="18"/>
        </w:rPr>
        <w:t xml:space="preserve"> be described as the same comparison as the dashboard's current “In-App Nudge vs Paid Acquisition” visual.</w:t>
      </w:r>
    </w:p>
    <w:p w14:paraId="3F08ADDC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lastRenderedPageBreak/>
        <w:pict w14:anchorId="0A730202">
          <v:rect id="_x0000_i1070" style="width:0;height:1.5pt" o:hralign="center" o:hrstd="t" o:hr="t" fillcolor="#a0a0a0" stroked="f"/>
        </w:pict>
      </w:r>
    </w:p>
    <w:p w14:paraId="4B029EEC" w14:textId="77777777" w:rsidR="00741499" w:rsidRPr="00741499" w:rsidRDefault="00741499" w:rsidP="00741499">
      <w:pPr>
        <w:rPr>
          <w:b/>
          <w:bCs/>
          <w:sz w:val="20"/>
          <w:szCs w:val="18"/>
        </w:rPr>
      </w:pPr>
      <w:r w:rsidRPr="00741499">
        <w:rPr>
          <w:b/>
          <w:bCs/>
          <w:sz w:val="20"/>
          <w:szCs w:val="18"/>
        </w:rPr>
        <w:t>4. Reduce Critical SLA Breaches</w:t>
      </w:r>
    </w:p>
    <w:p w14:paraId="3E97A0F2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Finding &amp; Evidence:</w:t>
      </w:r>
      <w:r w:rsidRPr="00741499">
        <w:rPr>
          <w:sz w:val="20"/>
          <w:szCs w:val="18"/>
        </w:rPr>
        <w:t xml:space="preserve"> </w:t>
      </w:r>
      <w:r w:rsidRPr="00741499">
        <w:rPr>
          <w:b/>
          <w:bCs/>
          <w:sz w:val="20"/>
          <w:szCs w:val="18"/>
        </w:rPr>
        <w:t>Critical Data Discrepancy</w:t>
      </w:r>
      <w:r w:rsidRPr="00741499">
        <w:rPr>
          <w:sz w:val="20"/>
          <w:szCs w:val="18"/>
        </w:rPr>
        <w:t xml:space="preserve"> tickets had a </w:t>
      </w:r>
      <w:r w:rsidRPr="00741499">
        <w:rPr>
          <w:b/>
          <w:bCs/>
          <w:sz w:val="20"/>
          <w:szCs w:val="18"/>
        </w:rPr>
        <w:t>71.79% SLA breach rate</w:t>
      </w:r>
      <w:r w:rsidRPr="00741499">
        <w:rPr>
          <w:sz w:val="20"/>
          <w:szCs w:val="18"/>
        </w:rPr>
        <w:t xml:space="preserve">, while </w:t>
      </w:r>
      <w:r w:rsidRPr="00741499">
        <w:rPr>
          <w:b/>
          <w:bCs/>
          <w:sz w:val="20"/>
          <w:szCs w:val="18"/>
        </w:rPr>
        <w:t>Critical Feature Request</w:t>
      </w:r>
      <w:r w:rsidRPr="00741499">
        <w:rPr>
          <w:sz w:val="20"/>
          <w:szCs w:val="18"/>
        </w:rPr>
        <w:t xml:space="preserve"> tickets had a </w:t>
      </w:r>
      <w:r w:rsidRPr="00741499">
        <w:rPr>
          <w:b/>
          <w:bCs/>
          <w:sz w:val="20"/>
          <w:szCs w:val="18"/>
        </w:rPr>
        <w:t>71.43% SLA breach rate</w:t>
      </w:r>
      <w:r w:rsidRPr="00741499">
        <w:rPr>
          <w:sz w:val="20"/>
          <w:szCs w:val="18"/>
        </w:rPr>
        <w:t>.</w:t>
      </w:r>
    </w:p>
    <w:p w14:paraId="5A063C41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Business Impact:</w:t>
      </w:r>
      <w:r w:rsidRPr="00741499">
        <w:rPr>
          <w:sz w:val="20"/>
          <w:szCs w:val="18"/>
        </w:rPr>
        <w:t xml:space="preserve"> High SLA breach rates on critical issues can increase service risk and customer dissatisfaction.</w:t>
      </w:r>
    </w:p>
    <w:p w14:paraId="3C42695F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Action &amp; Owner:</w:t>
      </w:r>
      <w:r w:rsidRPr="00741499">
        <w:rPr>
          <w:sz w:val="20"/>
          <w:szCs w:val="18"/>
        </w:rPr>
        <w:t xml:space="preserve"> Customer Support and Product teams should create dedicated escalation rules and conduct monthly root-cause reviews for these critical ticket categories.</w:t>
      </w:r>
    </w:p>
    <w:p w14:paraId="5AD14098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Target &amp; Timeline:</w:t>
      </w:r>
      <w:r w:rsidRPr="00741499">
        <w:rPr>
          <w:sz w:val="20"/>
          <w:szCs w:val="18"/>
        </w:rPr>
        <w:t xml:space="preserve"> Reduce SLA breaches in these categories by </w:t>
      </w:r>
      <w:r w:rsidRPr="00741499">
        <w:rPr>
          <w:b/>
          <w:bCs/>
          <w:sz w:val="20"/>
          <w:szCs w:val="18"/>
        </w:rPr>
        <w:t>20% within 6 months</w:t>
      </w:r>
      <w:r w:rsidRPr="00741499">
        <w:rPr>
          <w:sz w:val="20"/>
          <w:szCs w:val="18"/>
        </w:rPr>
        <w:t>.</w:t>
      </w:r>
    </w:p>
    <w:p w14:paraId="28A7F451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pict w14:anchorId="7920C18B">
          <v:rect id="_x0000_i1071" style="width:0;height:1.5pt" o:hralign="center" o:hrstd="t" o:hr="t" fillcolor="#a0a0a0" stroked="f"/>
        </w:pict>
      </w:r>
    </w:p>
    <w:p w14:paraId="4E548CE2" w14:textId="77777777" w:rsidR="00741499" w:rsidRPr="00741499" w:rsidRDefault="00741499" w:rsidP="00741499">
      <w:pPr>
        <w:rPr>
          <w:b/>
          <w:bCs/>
          <w:sz w:val="20"/>
          <w:szCs w:val="18"/>
        </w:rPr>
      </w:pPr>
      <w:r w:rsidRPr="00741499">
        <w:rPr>
          <w:b/>
          <w:bCs/>
          <w:sz w:val="20"/>
          <w:szCs w:val="18"/>
        </w:rPr>
        <w:t>5. Expand Support Automation Selectively</w:t>
      </w:r>
    </w:p>
    <w:p w14:paraId="1CADA28E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Finding &amp; Evidence:</w:t>
      </w:r>
      <w:r w:rsidRPr="00741499">
        <w:rPr>
          <w:sz w:val="20"/>
          <w:szCs w:val="18"/>
        </w:rPr>
        <w:t xml:space="preserve"> Human agents handled </w:t>
      </w:r>
      <w:r w:rsidRPr="00741499">
        <w:rPr>
          <w:b/>
          <w:bCs/>
          <w:sz w:val="20"/>
          <w:szCs w:val="18"/>
        </w:rPr>
        <w:t>66.39%</w:t>
      </w:r>
      <w:r w:rsidRPr="00741499">
        <w:rPr>
          <w:sz w:val="20"/>
          <w:szCs w:val="18"/>
        </w:rPr>
        <w:t xml:space="preserve"> of tickets, while automation handled </w:t>
      </w:r>
      <w:r w:rsidRPr="00741499">
        <w:rPr>
          <w:b/>
          <w:bCs/>
          <w:sz w:val="20"/>
          <w:szCs w:val="18"/>
        </w:rPr>
        <w:t>33.61%</w:t>
      </w:r>
      <w:r w:rsidRPr="00741499">
        <w:rPr>
          <w:sz w:val="20"/>
          <w:szCs w:val="18"/>
        </w:rPr>
        <w:t xml:space="preserve">. Average CSAT was </w:t>
      </w:r>
      <w:r w:rsidRPr="00741499">
        <w:rPr>
          <w:b/>
          <w:bCs/>
          <w:sz w:val="20"/>
          <w:szCs w:val="18"/>
        </w:rPr>
        <w:t>1.27 for automated tickets vs 1.23 for human-handled tickets</w:t>
      </w:r>
      <w:r w:rsidRPr="00741499">
        <w:rPr>
          <w:sz w:val="20"/>
          <w:szCs w:val="18"/>
        </w:rPr>
        <w:t>, showing only a small difference.</w:t>
      </w:r>
    </w:p>
    <w:p w14:paraId="4C41DD01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Business Impact:</w:t>
      </w:r>
      <w:r w:rsidRPr="00741499">
        <w:rPr>
          <w:sz w:val="20"/>
          <w:szCs w:val="18"/>
        </w:rPr>
        <w:t xml:space="preserve"> Suitable automation may improve support efficiency while maintaining service quality.</w:t>
      </w:r>
    </w:p>
    <w:p w14:paraId="15C84AC7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Action &amp; Owner:</w:t>
      </w:r>
      <w:r w:rsidRPr="00741499">
        <w:rPr>
          <w:sz w:val="20"/>
          <w:szCs w:val="18"/>
        </w:rPr>
        <w:t xml:space="preserve"> Customer Support and Product teams should identify repetitive, low-complexity tickets suitable for automation while keeping complex cases human-handled.</w:t>
      </w:r>
    </w:p>
    <w:p w14:paraId="3FE97ED9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Target &amp; Timeline:</w:t>
      </w:r>
      <w:r w:rsidRPr="00741499">
        <w:rPr>
          <w:sz w:val="20"/>
          <w:szCs w:val="18"/>
        </w:rPr>
        <w:t xml:space="preserve"> Increase appropriate automation coverage by </w:t>
      </w:r>
      <w:r w:rsidRPr="00741499">
        <w:rPr>
          <w:b/>
          <w:bCs/>
          <w:sz w:val="20"/>
          <w:szCs w:val="18"/>
        </w:rPr>
        <w:t>10 percentage points within 6 months</w:t>
      </w:r>
      <w:r w:rsidRPr="00741499">
        <w:rPr>
          <w:sz w:val="20"/>
          <w:szCs w:val="18"/>
        </w:rPr>
        <w:t>.</w:t>
      </w:r>
    </w:p>
    <w:p w14:paraId="7BB41A67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pict w14:anchorId="78ADE1E3">
          <v:rect id="_x0000_i1072" style="width:0;height:1.5pt" o:hralign="center" o:hrstd="t" o:hr="t" fillcolor="#a0a0a0" stroked="f"/>
        </w:pict>
      </w:r>
    </w:p>
    <w:p w14:paraId="4765DDE0" w14:textId="77777777" w:rsidR="00741499" w:rsidRPr="00741499" w:rsidRDefault="00741499" w:rsidP="00741499">
      <w:pPr>
        <w:rPr>
          <w:b/>
          <w:bCs/>
          <w:sz w:val="20"/>
          <w:szCs w:val="18"/>
        </w:rPr>
      </w:pPr>
      <w:r w:rsidRPr="00741499">
        <w:rPr>
          <w:b/>
          <w:bCs/>
          <w:sz w:val="20"/>
          <w:szCs w:val="18"/>
        </w:rPr>
        <w:t>6. Protect Customer Economics and Runway</w:t>
      </w:r>
    </w:p>
    <w:p w14:paraId="29FDA8FA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Finding &amp; Evidence:</w:t>
      </w:r>
      <w:r w:rsidRPr="00741499">
        <w:rPr>
          <w:sz w:val="20"/>
          <w:szCs w:val="18"/>
        </w:rPr>
        <w:t xml:space="preserve"> Estimated runway is approximately </w:t>
      </w:r>
      <w:r w:rsidRPr="00741499">
        <w:rPr>
          <w:b/>
          <w:bCs/>
          <w:sz w:val="20"/>
          <w:szCs w:val="18"/>
        </w:rPr>
        <w:t>27.65 months in the Base scenario</w:t>
      </w:r>
      <w:r w:rsidRPr="00741499">
        <w:rPr>
          <w:sz w:val="20"/>
          <w:szCs w:val="18"/>
        </w:rPr>
        <w:t xml:space="preserve"> and </w:t>
      </w:r>
      <w:r w:rsidRPr="00741499">
        <w:rPr>
          <w:b/>
          <w:bCs/>
          <w:sz w:val="20"/>
          <w:szCs w:val="18"/>
        </w:rPr>
        <w:t>25.93 months in the Pessimistic scenario</w:t>
      </w:r>
      <w:r w:rsidRPr="00741499">
        <w:rPr>
          <w:sz w:val="20"/>
          <w:szCs w:val="18"/>
        </w:rPr>
        <w:t xml:space="preserve">. The </w:t>
      </w:r>
      <w:r w:rsidRPr="00741499">
        <w:rPr>
          <w:b/>
          <w:bCs/>
          <w:sz w:val="20"/>
          <w:szCs w:val="18"/>
        </w:rPr>
        <w:t>2024 monthly burn rate was approximately $575.9K</w:t>
      </w:r>
      <w:r w:rsidRPr="00741499">
        <w:rPr>
          <w:sz w:val="20"/>
          <w:szCs w:val="18"/>
        </w:rPr>
        <w:t>.</w:t>
      </w:r>
    </w:p>
    <w:p w14:paraId="0348470E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Business Impact:</w:t>
      </w:r>
      <w:r w:rsidRPr="00741499">
        <w:rPr>
          <w:sz w:val="20"/>
          <w:szCs w:val="18"/>
        </w:rPr>
        <w:t xml:space="preserve"> Maintaining sufficient runway gives Gen P time to improve acquisition efficiency and control operating costs.</w:t>
      </w:r>
    </w:p>
    <w:p w14:paraId="06DA9B76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Action &amp; Owner:</w:t>
      </w:r>
      <w:r w:rsidRPr="00741499">
        <w:rPr>
          <w:sz w:val="20"/>
          <w:szCs w:val="18"/>
        </w:rPr>
        <w:t xml:space="preserve"> Finance, Marketing and Leadership should review burn rate, runway and LTV/CAC monthly and prioritize spending with stronger customer economics.</w:t>
      </w:r>
    </w:p>
    <w:p w14:paraId="0B8ABA44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b/>
          <w:bCs/>
          <w:sz w:val="20"/>
          <w:szCs w:val="18"/>
        </w:rPr>
        <w:t>Target &amp; Timeline:</w:t>
      </w:r>
      <w:r w:rsidRPr="00741499">
        <w:rPr>
          <w:sz w:val="20"/>
          <w:szCs w:val="18"/>
        </w:rPr>
        <w:t xml:space="preserve"> Maintain at least </w:t>
      </w:r>
      <w:r w:rsidRPr="00741499">
        <w:rPr>
          <w:b/>
          <w:bCs/>
          <w:sz w:val="20"/>
          <w:szCs w:val="18"/>
        </w:rPr>
        <w:t>24 months of runway within the next 6 months</w:t>
      </w:r>
      <w:r w:rsidRPr="00741499">
        <w:rPr>
          <w:sz w:val="20"/>
          <w:szCs w:val="18"/>
        </w:rPr>
        <w:t>.</w:t>
      </w:r>
    </w:p>
    <w:p w14:paraId="6418763E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pict w14:anchorId="41BFACFD">
          <v:rect id="_x0000_i1073" style="width:0;height:1.5pt" o:hralign="center" o:hrstd="t" o:hr="t" fillcolor="#a0a0a0" stroked="f"/>
        </w:pict>
      </w:r>
    </w:p>
    <w:p w14:paraId="197D1846" w14:textId="77777777" w:rsidR="00741499" w:rsidRPr="00741499" w:rsidRDefault="00741499" w:rsidP="00741499">
      <w:pPr>
        <w:rPr>
          <w:b/>
          <w:bCs/>
          <w:sz w:val="20"/>
          <w:szCs w:val="18"/>
        </w:rPr>
      </w:pPr>
      <w:r w:rsidRPr="00741499">
        <w:rPr>
          <w:b/>
          <w:bCs/>
          <w:sz w:val="20"/>
          <w:szCs w:val="18"/>
        </w:rPr>
        <w:t>Conclusion — Leadership Priorities</w:t>
      </w:r>
    </w:p>
    <w:p w14:paraId="6F18E9A7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t xml:space="preserve">Gen P should focus on improving </w:t>
      </w:r>
      <w:r w:rsidRPr="00741499">
        <w:rPr>
          <w:b/>
          <w:bCs/>
          <w:sz w:val="20"/>
          <w:szCs w:val="18"/>
        </w:rPr>
        <w:t>sales discipline, customer activation, acquisition efficiency and critical support performance</w:t>
      </w:r>
      <w:r w:rsidRPr="00741499">
        <w:rPr>
          <w:sz w:val="20"/>
          <w:szCs w:val="18"/>
        </w:rPr>
        <w:t xml:space="preserve">. Selective automation and regular monitoring of </w:t>
      </w:r>
      <w:r w:rsidRPr="00741499">
        <w:rPr>
          <w:b/>
          <w:bCs/>
          <w:sz w:val="20"/>
          <w:szCs w:val="18"/>
        </w:rPr>
        <w:t>LTV/CAC, burn rate and runway</w:t>
      </w:r>
      <w:r w:rsidRPr="00741499">
        <w:rPr>
          <w:sz w:val="20"/>
          <w:szCs w:val="18"/>
        </w:rPr>
        <w:t xml:space="preserve"> can help protect financial sustainability.</w:t>
      </w:r>
    </w:p>
    <w:p w14:paraId="29C89CA9" w14:textId="77777777" w:rsidR="00741499" w:rsidRPr="00741499" w:rsidRDefault="00741499" w:rsidP="00741499">
      <w:pPr>
        <w:rPr>
          <w:sz w:val="20"/>
          <w:szCs w:val="18"/>
        </w:rPr>
      </w:pPr>
      <w:r w:rsidRPr="00741499">
        <w:rPr>
          <w:sz w:val="20"/>
          <w:szCs w:val="18"/>
        </w:rPr>
        <w:t xml:space="preserve">These actions provide clear ownership, measurable targets and realistic </w:t>
      </w:r>
      <w:r w:rsidRPr="00741499">
        <w:rPr>
          <w:b/>
          <w:bCs/>
          <w:sz w:val="20"/>
          <w:szCs w:val="18"/>
        </w:rPr>
        <w:t>6-month timelines</w:t>
      </w:r>
      <w:r w:rsidRPr="00741499">
        <w:rPr>
          <w:sz w:val="20"/>
          <w:szCs w:val="18"/>
        </w:rPr>
        <w:t xml:space="preserve"> for leadership to track progress.</w:t>
      </w:r>
    </w:p>
    <w:p w14:paraId="5CD9CF57" w14:textId="15B07A62" w:rsidR="00F27BF1" w:rsidRPr="008F7FA9" w:rsidRDefault="00F27BF1">
      <w:pPr>
        <w:rPr>
          <w:sz w:val="20"/>
          <w:szCs w:val="18"/>
        </w:rPr>
      </w:pPr>
    </w:p>
    <w:sectPr w:rsidR="00F27BF1" w:rsidRPr="008F7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D9"/>
    <w:rsid w:val="000D02D9"/>
    <w:rsid w:val="001F3B3B"/>
    <w:rsid w:val="00323CDE"/>
    <w:rsid w:val="0072629C"/>
    <w:rsid w:val="00741499"/>
    <w:rsid w:val="008F7FA9"/>
    <w:rsid w:val="00A3641E"/>
    <w:rsid w:val="00B37C15"/>
    <w:rsid w:val="00EB462A"/>
    <w:rsid w:val="00F2381B"/>
    <w:rsid w:val="00F2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7557"/>
  <w15:chartTrackingRefBased/>
  <w15:docId w15:val="{61CB2203-06AC-4168-AC21-CA472F7E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D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D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D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02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02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D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D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Pandey</dc:creator>
  <cp:keywords/>
  <dc:description/>
  <cp:lastModifiedBy>Alok Pandey</cp:lastModifiedBy>
  <cp:revision>3</cp:revision>
  <dcterms:created xsi:type="dcterms:W3CDTF">2026-09-16T16:48:00Z</dcterms:created>
  <dcterms:modified xsi:type="dcterms:W3CDTF">2026-09-16T17:34:00Z</dcterms:modified>
</cp:coreProperties>
</file>