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7636" w14:textId="77777777" w:rsidR="00E51336" w:rsidRDefault="00381BEB">
      <w:pPr>
        <w:spacing w:after="40"/>
      </w:pPr>
      <w:r>
        <w:rPr>
          <w:b/>
          <w:bCs/>
          <w:sz w:val="26"/>
          <w:szCs w:val="26"/>
        </w:rPr>
        <w:t>Task 4 — Cross-Functional SQL Investigation</w:t>
      </w:r>
    </w:p>
    <w:p w14:paraId="1C17B130" w14:textId="11C09BF0" w:rsidR="00E51336" w:rsidRDefault="001C544C">
      <w:r>
        <w:t>By Alok Ranjan Pandey</w:t>
      </w:r>
    </w:p>
    <w:tbl>
      <w:tblPr>
        <w:tblW w:w="14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5627"/>
        <w:gridCol w:w="6484"/>
      </w:tblGrid>
      <w:tr w:rsidR="00E51336" w14:paraId="4F88DF25" w14:textId="77777777" w:rsidTr="000E7175">
        <w:trPr>
          <w:trHeight w:val="276"/>
        </w:trPr>
        <w:tc>
          <w:tcPr>
            <w:tcW w:w="232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5416C" w14:textId="77777777" w:rsidR="00E51336" w:rsidRDefault="00381BEB">
            <w:r>
              <w:rPr>
                <w:b/>
                <w:bCs/>
                <w:sz w:val="16"/>
                <w:szCs w:val="16"/>
              </w:rPr>
              <w:t>Analysis</w:t>
            </w:r>
          </w:p>
        </w:tc>
        <w:tc>
          <w:tcPr>
            <w:tcW w:w="562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BB4EA" w14:textId="77777777" w:rsidR="00E51336" w:rsidRDefault="00381BEB">
            <w:r>
              <w:rPr>
                <w:b/>
                <w:bCs/>
                <w:sz w:val="16"/>
                <w:szCs w:val="16"/>
              </w:rPr>
              <w:t>Key Result</w:t>
            </w:r>
          </w:p>
        </w:tc>
        <w:tc>
          <w:tcPr>
            <w:tcW w:w="648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81EF8" w14:textId="77777777" w:rsidR="00E51336" w:rsidRDefault="00381BEB">
            <w:r>
              <w:rPr>
                <w:b/>
                <w:bCs/>
                <w:sz w:val="16"/>
                <w:szCs w:val="16"/>
              </w:rPr>
              <w:t>Business Interpretation</w:t>
            </w:r>
          </w:p>
        </w:tc>
      </w:tr>
      <w:tr w:rsidR="00E51336" w14:paraId="7CA57CEE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5711F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Q1. Campaign Quality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19492" w14:textId="7262F5C2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 xml:space="preserve">Email Nurture: </w:t>
            </w:r>
            <w:r w:rsidR="00756131" w:rsidRPr="00756131">
              <w:rPr>
                <w:sz w:val="22"/>
                <w:szCs w:val="22"/>
              </w:rPr>
              <w:t>62.50%-win</w:t>
            </w:r>
            <w:r w:rsidRPr="00756131">
              <w:rPr>
                <w:sz w:val="22"/>
                <w:szCs w:val="22"/>
              </w:rPr>
              <w:t xml:space="preserve"> rate. Paid Search: </w:t>
            </w:r>
            <w:r w:rsidR="00756131" w:rsidRPr="00756131">
              <w:rPr>
                <w:sz w:val="22"/>
                <w:szCs w:val="22"/>
              </w:rPr>
              <w:t>62.20%-win</w:t>
            </w:r>
            <w:r w:rsidRPr="00756131">
              <w:rPr>
                <w:sz w:val="22"/>
                <w:szCs w:val="22"/>
              </w:rPr>
              <w:t xml:space="preserve"> rate and $3.47M closed-won value.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D6481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Email Nurture generated the highest-quality pipeline by win rate, while Paid Search generated the highest total closed-won value, making it the strongest campaign type by monetary contribution.</w:t>
            </w:r>
          </w:p>
        </w:tc>
      </w:tr>
      <w:tr w:rsidR="00E51336" w14:paraId="7B72F1FF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6AF05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Q2. Campaign Activation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36B2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In-App Nudge: 24.46% activation vs 14.98% for Paid Acquisition; difference +9.48 percentage points.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02973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In-App Nudge campaigns show substantially higher activation than paid acquisition campaigns. Statistical significance should be validated separately in Task 5.</w:t>
            </w:r>
          </w:p>
        </w:tc>
      </w:tr>
      <w:tr w:rsidR="00E51336" w14:paraId="12CE2626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ABFF2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Q3. Acquisition Efficiency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26794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Lowest CAC: LinkedIn — $39,676.90. Highest CAC: In-App — $87,744.61. Highest LTV/CAC: Product-Led Signup — 1,762.07. Lowest: LinkedIn Ads — 204.83.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C693E" w14:textId="2AE7762A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LinkedIn is the most cost-efficient marketing channel based on the defined acquisition proxy. Product-Led Signup has the strongest LTV/CAC, while LinkedIn Ads has the lowest among the SaaS acquisition channels analyzed.</w:t>
            </w:r>
            <w:r w:rsidR="005C5B76" w:rsidRPr="005C5B76">
              <w:t xml:space="preserve"> </w:t>
            </w:r>
            <w:r w:rsidR="005C5B76" w:rsidRPr="005C5B76">
              <w:rPr>
                <w:sz w:val="22"/>
                <w:szCs w:val="22"/>
              </w:rPr>
              <w:t xml:space="preserve">CAC and LTV/CAC are reported separately because Marketing Channel and SaaS </w:t>
            </w:r>
            <w:proofErr w:type="spellStart"/>
            <w:r w:rsidR="005C5B76" w:rsidRPr="005C5B76">
              <w:rPr>
                <w:sz w:val="22"/>
                <w:szCs w:val="22"/>
              </w:rPr>
              <w:t>Acquisition_Channel</w:t>
            </w:r>
            <w:proofErr w:type="spellEnd"/>
            <w:r w:rsidR="005C5B76" w:rsidRPr="005C5B76">
              <w:rPr>
                <w:sz w:val="22"/>
                <w:szCs w:val="22"/>
              </w:rPr>
              <w:t xml:space="preserve"> use different taxonomies and cannot be directly matched without an unsupported mapping.</w:t>
            </w:r>
          </w:p>
        </w:tc>
      </w:tr>
      <w:tr w:rsidR="00E51336" w14:paraId="61173758" w14:textId="77777777" w:rsidTr="000E7175">
        <w:trPr>
          <w:trHeight w:val="554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A433E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Q4. SLA Performance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26747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Highest breach: Critical – Data Discrepancy: 71.79%. Next: Critical – Feature Request: 71.43%.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131E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Critical Data Discrepancy and Critical Feature Request have the highest SLA breach rates and should be prioritized for operational improvement.</w:t>
            </w:r>
          </w:p>
        </w:tc>
      </w:tr>
      <w:tr w:rsidR="00E51336" w14:paraId="66B629AB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315D1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Q5. Automation &amp; CSAT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8CD84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Human: 66.39% of tickets. Automated: 33.61%. Avg. CSAT: Automated 1.27 vs Human 1.23.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0B95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Most tickets are handled by humans. Automated tickets show slightly higher CSAT, but the difference is very small and does not indicate a meaningful satisfaction difference.</w:t>
            </w:r>
          </w:p>
        </w:tc>
      </w:tr>
      <w:tr w:rsidR="00E51336" w14:paraId="7E84A8DF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7D74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Q6. High-Risk Ticket Volume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EC067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1 Active customer (100%) exceeded 5 High/Critical tickets within a rolling 6-month window.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81399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One customer exceeded the high-ticket-volume threshold, and the flagged customer is Active. The flagged group is therefore not disproportionately represented by At Risk or Churned customers.</w:t>
            </w:r>
          </w:p>
        </w:tc>
      </w:tr>
      <w:tr w:rsidR="00E51336" w14:paraId="05D5E7B8" w14:textId="77777777" w:rsidTr="000E7175">
        <w:trPr>
          <w:trHeight w:val="1406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F807A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lastRenderedPageBreak/>
              <w:t>Q7. NPS &amp; Churn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09FC2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Enterprise: NPS 32.27 / Churn 6.80%. SMB: 41.28 / 6.58%. Mid-Market: 37.59 / 6.41%.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DD4B4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Enterprise has the lowest NPS and highest churn, while Mid-Market has the lowest churn. However, the customer-level Pearson correlation is 0.013, indicating an almost zero relationship between NPS and monthly churn. Therefore, the data does not provide evidence of a meaningful linear relationship.</w:t>
            </w:r>
          </w:p>
        </w:tc>
      </w:tr>
      <w:tr w:rsidR="00E51336" w14:paraId="2C9DB7EB" w14:textId="77777777" w:rsidTr="000E7175">
        <w:trPr>
          <w:trHeight w:val="851"/>
        </w:trPr>
        <w:tc>
          <w:tcPr>
            <w:tcW w:w="23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727A7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Q8. Regional Scorecard</w:t>
            </w:r>
          </w:p>
        </w:tc>
        <w:tc>
          <w:tcPr>
            <w:tcW w:w="56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91925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ANZ: $6.43M closed-won value. Middle East: 18.87% activation. Southeast Asia: 701.48 LTV/CAC.</w:t>
            </w:r>
          </w:p>
        </w:tc>
        <w:tc>
          <w:tcPr>
            <w:tcW w:w="64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67471" w14:textId="77777777" w:rsidR="00E51336" w:rsidRPr="00756131" w:rsidRDefault="00381BEB">
            <w:pPr>
              <w:rPr>
                <w:sz w:val="22"/>
                <w:szCs w:val="22"/>
              </w:rPr>
            </w:pPr>
            <w:r w:rsidRPr="00756131">
              <w:rPr>
                <w:sz w:val="22"/>
                <w:szCs w:val="22"/>
              </w:rPr>
              <w:t>No single region leads every metric. ANZ leads commercial value, Middle East leads activation, and Southeast Asia leads LTV/CAC; regional health should therefore be assessed across all four metrics.</w:t>
            </w:r>
          </w:p>
        </w:tc>
      </w:tr>
    </w:tbl>
    <w:p w14:paraId="139B1917" w14:textId="77777777" w:rsidR="000E7175" w:rsidRDefault="000E7175">
      <w:pPr>
        <w:spacing w:before="160" w:after="60"/>
        <w:rPr>
          <w:b/>
          <w:bCs/>
          <w:sz w:val="36"/>
          <w:szCs w:val="36"/>
        </w:rPr>
      </w:pPr>
    </w:p>
    <w:p w14:paraId="779CF7A7" w14:textId="77777777" w:rsidR="00756131" w:rsidRDefault="00756131">
      <w:pPr>
        <w:spacing w:before="160" w:after="60"/>
        <w:rPr>
          <w:b/>
          <w:bCs/>
          <w:sz w:val="36"/>
          <w:szCs w:val="36"/>
        </w:rPr>
      </w:pPr>
    </w:p>
    <w:p w14:paraId="39A573F0" w14:textId="3AE17D9E" w:rsidR="00E51336" w:rsidRPr="000E7175" w:rsidRDefault="00381BEB">
      <w:pPr>
        <w:spacing w:before="160" w:after="60"/>
        <w:rPr>
          <w:sz w:val="40"/>
          <w:szCs w:val="40"/>
        </w:rPr>
      </w:pPr>
      <w:r w:rsidRPr="000E7175">
        <w:rPr>
          <w:b/>
          <w:bCs/>
          <w:sz w:val="36"/>
          <w:szCs w:val="36"/>
        </w:rPr>
        <w:t>Methodology Notes</w:t>
      </w:r>
    </w:p>
    <w:p w14:paraId="1B5D8632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>Open deals were excluded from win-rate calculations; missing values were not treated as zero.</w:t>
      </w:r>
    </w:p>
    <w:p w14:paraId="6DF1F4FE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 xml:space="preserve">Negative </w:t>
      </w:r>
      <w:proofErr w:type="spellStart"/>
      <w:r w:rsidRPr="00756131">
        <w:rPr>
          <w:sz w:val="32"/>
          <w:szCs w:val="32"/>
        </w:rPr>
        <w:t>Resolution_Hours</w:t>
      </w:r>
      <w:proofErr w:type="spellEnd"/>
      <w:r w:rsidRPr="00756131">
        <w:rPr>
          <w:sz w:val="32"/>
          <w:szCs w:val="32"/>
        </w:rPr>
        <w:t xml:space="preserve"> values were excluded from SLA analysis.</w:t>
      </w:r>
    </w:p>
    <w:p w14:paraId="7650A364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 xml:space="preserve">Marketing Channel and SaaS </w:t>
      </w:r>
      <w:proofErr w:type="spellStart"/>
      <w:r w:rsidRPr="00756131">
        <w:rPr>
          <w:sz w:val="32"/>
          <w:szCs w:val="32"/>
        </w:rPr>
        <w:t>Acquisition_Channel</w:t>
      </w:r>
      <w:proofErr w:type="spellEnd"/>
      <w:r w:rsidRPr="00756131">
        <w:rPr>
          <w:sz w:val="32"/>
          <w:szCs w:val="32"/>
        </w:rPr>
        <w:t xml:space="preserve"> use different taxonomies and were therefore not directly joined.</w:t>
      </w:r>
    </w:p>
    <w:p w14:paraId="0E991B8F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 xml:space="preserve">Marketing </w:t>
      </w:r>
      <w:proofErr w:type="spellStart"/>
      <w:r w:rsidRPr="00756131">
        <w:rPr>
          <w:sz w:val="32"/>
          <w:szCs w:val="32"/>
        </w:rPr>
        <w:t>Target_Region</w:t>
      </w:r>
      <w:proofErr w:type="spellEnd"/>
      <w:r w:rsidRPr="00756131">
        <w:rPr>
          <w:sz w:val="32"/>
          <w:szCs w:val="32"/>
        </w:rPr>
        <w:t xml:space="preserve"> and customer Region represent different geographic dimensions.</w:t>
      </w:r>
    </w:p>
    <w:p w14:paraId="22C2E38A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>Sales Pipeline does not contain ARR_USD; therefore, closed-won deal value was used as the available sales-value proxy.</w:t>
      </w:r>
    </w:p>
    <w:p w14:paraId="299FED84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>NPS/churn and automation/CSAT results indicate association, not causation.</w:t>
      </w:r>
    </w:p>
    <w:p w14:paraId="7767A642" w14:textId="77777777" w:rsidR="00E51336" w:rsidRPr="00756131" w:rsidRDefault="00381BEB" w:rsidP="00756131">
      <w:pPr>
        <w:pStyle w:val="ListParagraph"/>
        <w:numPr>
          <w:ilvl w:val="0"/>
          <w:numId w:val="2"/>
        </w:numPr>
        <w:spacing w:after="60"/>
        <w:rPr>
          <w:sz w:val="40"/>
          <w:szCs w:val="40"/>
        </w:rPr>
      </w:pPr>
      <w:r w:rsidRPr="00756131">
        <w:rPr>
          <w:sz w:val="32"/>
          <w:szCs w:val="32"/>
        </w:rPr>
        <w:t>The 3× LTV/CAC benchmark is an analytical benchmark and was not specified in the case brief.</w:t>
      </w:r>
    </w:p>
    <w:p w14:paraId="5E6232DA" w14:textId="77777777" w:rsidR="00E51336" w:rsidRPr="000E7175" w:rsidRDefault="00381BEB">
      <w:pPr>
        <w:spacing w:before="160" w:after="60"/>
        <w:rPr>
          <w:sz w:val="40"/>
          <w:szCs w:val="40"/>
        </w:rPr>
      </w:pPr>
      <w:r w:rsidRPr="000E7175">
        <w:rPr>
          <w:b/>
          <w:bCs/>
          <w:sz w:val="36"/>
          <w:szCs w:val="36"/>
        </w:rPr>
        <w:t>Overall Finding</w:t>
      </w:r>
    </w:p>
    <w:p w14:paraId="7845BF37" w14:textId="77777777" w:rsidR="00E51336" w:rsidRPr="000E7175" w:rsidRDefault="00381BEB">
      <w:pPr>
        <w:spacing w:after="60"/>
        <w:rPr>
          <w:sz w:val="40"/>
          <w:szCs w:val="40"/>
        </w:rPr>
      </w:pPr>
      <w:r w:rsidRPr="000E7175">
        <w:rPr>
          <w:sz w:val="32"/>
          <w:szCs w:val="32"/>
        </w:rPr>
        <w:lastRenderedPageBreak/>
        <w:t>The analysis indicates that growth quality varies significantly across campaigns, acquisition channels, customer segments, support operations, and regions. In-App Nudge shows stronger activation, Email Nurture and Paid Search show strong pipeline performance, while SLA breaches and enterprise churn/NPS require closer attention.</w:t>
      </w:r>
    </w:p>
    <w:sectPr w:rsidR="00E51336" w:rsidRPr="000E7175">
      <w:pgSz w:w="15840" w:h="122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24A2"/>
    <w:multiLevelType w:val="hybridMultilevel"/>
    <w:tmpl w:val="A942B6EA"/>
    <w:lvl w:ilvl="0" w:tplc="B2C239BC">
      <w:start w:val="1"/>
      <w:numFmt w:val="bullet"/>
      <w:lvlText w:val="●"/>
      <w:lvlJc w:val="left"/>
      <w:pPr>
        <w:ind w:left="720" w:hanging="360"/>
      </w:pPr>
    </w:lvl>
    <w:lvl w:ilvl="1" w:tplc="4E9C138E">
      <w:start w:val="1"/>
      <w:numFmt w:val="bullet"/>
      <w:lvlText w:val="○"/>
      <w:lvlJc w:val="left"/>
      <w:pPr>
        <w:ind w:left="1440" w:hanging="360"/>
      </w:pPr>
    </w:lvl>
    <w:lvl w:ilvl="2" w:tplc="785E10B2">
      <w:start w:val="1"/>
      <w:numFmt w:val="bullet"/>
      <w:lvlText w:val="■"/>
      <w:lvlJc w:val="left"/>
      <w:pPr>
        <w:ind w:left="2160" w:hanging="360"/>
      </w:pPr>
    </w:lvl>
    <w:lvl w:ilvl="3" w:tplc="E8E89F04">
      <w:start w:val="1"/>
      <w:numFmt w:val="bullet"/>
      <w:lvlText w:val="●"/>
      <w:lvlJc w:val="left"/>
      <w:pPr>
        <w:ind w:left="2880" w:hanging="360"/>
      </w:pPr>
    </w:lvl>
    <w:lvl w:ilvl="4" w:tplc="DFC2BEA4">
      <w:start w:val="1"/>
      <w:numFmt w:val="bullet"/>
      <w:lvlText w:val="○"/>
      <w:lvlJc w:val="left"/>
      <w:pPr>
        <w:ind w:left="3600" w:hanging="360"/>
      </w:pPr>
    </w:lvl>
    <w:lvl w:ilvl="5" w:tplc="1B887F3E">
      <w:start w:val="1"/>
      <w:numFmt w:val="bullet"/>
      <w:lvlText w:val="■"/>
      <w:lvlJc w:val="left"/>
      <w:pPr>
        <w:ind w:left="4320" w:hanging="360"/>
      </w:pPr>
    </w:lvl>
    <w:lvl w:ilvl="6" w:tplc="0C904342">
      <w:start w:val="1"/>
      <w:numFmt w:val="bullet"/>
      <w:lvlText w:val="●"/>
      <w:lvlJc w:val="left"/>
      <w:pPr>
        <w:ind w:left="5040" w:hanging="360"/>
      </w:pPr>
    </w:lvl>
    <w:lvl w:ilvl="7" w:tplc="C8E6D346">
      <w:start w:val="1"/>
      <w:numFmt w:val="bullet"/>
      <w:lvlText w:val="●"/>
      <w:lvlJc w:val="left"/>
      <w:pPr>
        <w:ind w:left="5760" w:hanging="360"/>
      </w:pPr>
    </w:lvl>
    <w:lvl w:ilvl="8" w:tplc="C3E82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65B73"/>
    <w:multiLevelType w:val="hybridMultilevel"/>
    <w:tmpl w:val="0F08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34565">
    <w:abstractNumId w:val="0"/>
    <w:lvlOverride w:ilvl="0">
      <w:startOverride w:val="1"/>
    </w:lvlOverride>
  </w:num>
  <w:num w:numId="2" w16cid:durableId="26273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336"/>
    <w:rsid w:val="000E7175"/>
    <w:rsid w:val="001A57D0"/>
    <w:rsid w:val="001C544C"/>
    <w:rsid w:val="00381BEB"/>
    <w:rsid w:val="005C5B76"/>
    <w:rsid w:val="00714E22"/>
    <w:rsid w:val="00756131"/>
    <w:rsid w:val="00E51336"/>
    <w:rsid w:val="00F2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403B"/>
  <w15:docId w15:val="{A84F9C80-95EC-4923-9D6B-B14810B2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4C"/>
  </w:style>
  <w:style w:type="paragraph" w:styleId="Heading1">
    <w:name w:val="heading 1"/>
    <w:basedOn w:val="Normal"/>
    <w:next w:val="Normal"/>
    <w:link w:val="Heading1Char"/>
    <w:uiPriority w:val="9"/>
    <w:qFormat/>
    <w:rsid w:val="001C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  <w:rPr>
      <w:rFonts w:cs="Cordia New"/>
      <w:szCs w:val="3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C5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4C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54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1C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C544C"/>
    <w:rPr>
      <w:b/>
      <w:bCs/>
    </w:rPr>
  </w:style>
  <w:style w:type="character" w:styleId="Emphasis">
    <w:name w:val="Emphasis"/>
    <w:basedOn w:val="DefaultParagraphFont"/>
    <w:uiPriority w:val="20"/>
    <w:qFormat/>
    <w:rsid w:val="001C544C"/>
    <w:rPr>
      <w:i/>
      <w:iCs/>
    </w:rPr>
  </w:style>
  <w:style w:type="paragraph" w:styleId="NoSpacing">
    <w:name w:val="No Spacing"/>
    <w:uiPriority w:val="1"/>
    <w:qFormat/>
    <w:rsid w:val="001C544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C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4C"/>
    <w:rPr>
      <w:i/>
      <w:iCs/>
      <w:color w:val="2F5496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1C544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C544C"/>
    <w:rPr>
      <w:i/>
      <w:iCs/>
      <w:color w:val="2F5496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1C544C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C544C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C544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544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Pandey</cp:lastModifiedBy>
  <cp:revision>5</cp:revision>
  <dcterms:created xsi:type="dcterms:W3CDTF">2026-09-11T03:09:00Z</dcterms:created>
  <dcterms:modified xsi:type="dcterms:W3CDTF">2026-09-17T17:15:00Z</dcterms:modified>
</cp:coreProperties>
</file>