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60"/>
        <w:jc w:val="center"/>
      </w:pPr>
      <w:r>
        <w:rPr>
          <w:rFonts w:ascii="Arial" w:cs="Arial" w:eastAsia="Arial" w:hAnsi="Arial"/>
          <w:b/>
          <w:bCs/>
          <w:color w:val="1B3F6B"/>
          <w:sz w:val="72"/>
          <w:szCs w:val="72"/>
        </w:rPr>
        <w:t xml:space="preserve">PhytoSense</w:t>
      </w:r>
    </w:p>
    <w:p>
      <w:pPr>
        <w:spacing w:after="60" w:before="0"/>
        <w:jc w:val="center"/>
      </w:pPr>
      <w:r>
        <w:rPr>
          <w:rFonts w:ascii="Arial" w:cs="Arial" w:eastAsia="Arial" w:hAnsi="Arial"/>
          <w:color w:val="444444"/>
          <w:sz w:val="28"/>
          <w:szCs w:val="28"/>
        </w:rPr>
        <w:t xml:space="preserve">An Acoustic and Environmental Sensor Mesh Network</w:t>
      </w:r>
    </w:p>
    <w:p>
      <w:pPr>
        <w:spacing w:after="60" w:before="0"/>
        <w:jc w:val="center"/>
      </w:pPr>
      <w:r>
        <w:rPr>
          <w:rFonts w:ascii="Arial" w:cs="Arial" w:eastAsia="Arial" w:hAnsi="Arial"/>
          <w:i/>
          <w:iCs/>
          <w:color w:val="555555"/>
          <w:sz w:val="26"/>
          <w:szCs w:val="26"/>
        </w:rPr>
        <w:t xml:space="preserve">for the University of Oulu Botanical Garden</w:t>
      </w:r>
    </w:p>
    <w:p>
      <w:pPr>
        <w:spacing w:after="400" w:before="0"/>
        <w:jc w:val="center"/>
      </w:pPr>
      <w:r>
        <w:rPr>
          <w:rFonts w:ascii="Arial" w:cs="Arial" w:eastAsia="Arial" w:hAnsi="Arial"/>
          <w:color w:val="888888"/>
          <w:sz w:val="20"/>
          <w:szCs w:val="20"/>
        </w:rPr>
        <w:t xml:space="preserve">Greenhouses Romeo and Julia  |  May 2026</w:t>
      </w:r>
    </w:p>
    <w:p>
      <w:pPr>
        <w:pBdr>
          <w:bottom w:val="single" w:color="1B3F6B" w:sz="8" w:space="1"/>
        </w:pBdr>
        <w:spacing w:after="100" w:before="100"/>
      </w:pPr>
      <w:r>
        <w:rPr>
          <w:rFonts w:ascii="Arial" w:cs="Arial" w:eastAsia="Arial" w:hAnsi="Arial"/>
          <w:sz w:val="21"/>
          <w:szCs w:val="21"/>
        </w:rPr>
        <w:t xml:space="preserve"/>
      </w:r>
    </w:p>
    <w:p>
      <w:pPr>
        <w:spacing w:after="40" w:before="40"/>
      </w:pPr>
      <w:r>
        <w:rPr>
          <w:rFonts w:ascii="Arial" w:cs="Arial" w:eastAsia="Arial" w:hAnsi="Arial"/>
          <w:sz w:val="21"/>
          <w:szCs w:val="21"/>
        </w:rPr>
        <w:t xml:space="preserve"/>
      </w:r>
    </w:p>
    <w:p>
      <w:pPr>
        <w:pBdr>
          <w:left w:val="single" w:color="2E7D4F" w:sz="12" w:space="8"/>
        </w:pBdr>
        <w:shd w:fill="EAF4EE" w:val="clear"/>
        <w:spacing w:after="100" w:before="100"/>
        <w:ind w:left="240" w:right="240"/>
      </w:pPr>
      <w:r>
        <w:rPr>
          <w:rFonts w:ascii="Arial" w:cs="Arial" w:eastAsia="Arial" w:hAnsi="Arial"/>
          <w:b/>
          <w:bCs/>
          <w:color w:val="2E7D4F"/>
          <w:sz w:val="21"/>
          <w:szCs w:val="21"/>
        </w:rPr>
        <w:t xml:space="preserve">The core idea: </w:t>
      </w:r>
      <w:r>
        <w:rPr>
          <w:rFonts w:ascii="Arial" w:cs="Arial" w:eastAsia="Arial" w:hAnsi="Arial"/>
          <w:sz w:val="21"/>
          <w:szCs w:val="21"/>
        </w:rPr>
        <w:t xml:space="preserve">Plants make sounds when they are stressed. Nobody has listened to 1,200 exotic species at once. We want to build the infrastructure to do exactly that, inside Romeo and Julia, and give the garden something genuinely useful in the process.</w:t>
      </w:r>
    </w:p>
    <w:p>
      <w:pPr>
        <w:spacing w:after="40" w:before="40"/>
      </w:pPr>
      <w:r>
        <w:rPr>
          <w:rFonts w:ascii="Arial" w:cs="Arial" w:eastAsia="Arial" w:hAnsi="Arial"/>
          <w:sz w:val="21"/>
          <w:szCs w:val="21"/>
        </w:rPr>
        <w:t xml:space="preserve"/>
      </w:r>
    </w:p>
    <w:p>
      <w:pPr>
        <w:pBdr>
          <w:bottom w:val="single" w:color="CCCCCC" w:sz="4" w:space="1"/>
        </w:pBdr>
        <w:spacing w:after="100" w:before="100"/>
      </w:pPr>
      <w:r>
        <w:rPr>
          <w:rFonts w:ascii="Arial" w:cs="Arial" w:eastAsia="Arial" w:hAnsi="Arial"/>
          <w:sz w:val="21"/>
          <w:szCs w:val="21"/>
        </w:rPr>
        <w:t xml:space="preserve"/>
      </w:r>
    </w:p>
    <w:p>
      <w:pPr>
        <w:pStyle w:val="Heading1"/>
        <w:spacing w:after="120" w:before="280"/>
      </w:pPr>
      <w:r>
        <w:rPr>
          <w:rFonts w:ascii="Arial" w:cs="Arial" w:eastAsia="Arial" w:hAnsi="Arial"/>
          <w:b/>
          <w:bCs/>
          <w:color w:val="1B3F6B"/>
          <w:sz w:val="30"/>
          <w:szCs w:val="30"/>
        </w:rPr>
        <w:t xml:space="preserve">1. What Is This Project</w:t>
      </w:r>
    </w:p>
    <w:p>
      <w:pPr>
        <w:spacing w:after="80" w:before="60"/>
      </w:pPr>
      <w:r>
        <w:rPr>
          <w:rFonts w:ascii="Arial" w:cs="Arial" w:eastAsia="Arial" w:hAnsi="Arial"/>
          <w:sz w:val="21"/>
          <w:szCs w:val="21"/>
        </w:rPr>
        <w:t xml:space="preserve">PhytoSense is a wireless sensor mesh network that we propose to install across the Romeo and Julia greenhouses. Each node in the network carries three sensors: an ultrasonic microphone, a soil moisture probe, and a humidity and temperature sensor. The nodes communicate wirelessly with each other and with a central hub that logs all data and sends alerts to staff when conditions drift outside safe ranges.</w:t>
      </w:r>
    </w:p>
    <w:p>
      <w:pPr>
        <w:spacing w:after="60" w:before="60"/>
      </w:pPr>
      <w:r>
        <w:rPr>
          <w:rFonts w:ascii="Arial" w:cs="Arial" w:eastAsia="Arial" w:hAnsi="Arial"/>
          <w:sz w:val="21"/>
          <w:szCs w:val="21"/>
        </w:rPr>
        <w:t xml:space="preserve"/>
      </w:r>
    </w:p>
    <w:p>
      <w:pPr>
        <w:spacing w:after="80" w:before="60"/>
      </w:pPr>
      <w:r>
        <w:rPr>
          <w:rFonts w:ascii="Arial" w:cs="Arial" w:eastAsia="Arial" w:hAnsi="Arial"/>
          <w:sz w:val="21"/>
          <w:szCs w:val="21"/>
        </w:rPr>
        <w:t xml:space="preserve">The project has two layers. The first is practical: continuous zone-level environmental monitoring that the horticulture staff can use every day. The second is scientific: a research platform for recording acoustic stress signals across a species collection that no laboratory in the world has access to.</w:t>
      </w:r>
    </w:p>
    <w:p>
      <w:pPr>
        <w:spacing w:after="60" w:before="60"/>
      </w:pPr>
      <w:r>
        <w:rPr>
          <w:rFonts w:ascii="Arial" w:cs="Arial" w:eastAsia="Arial" w:hAnsi="Arial"/>
          <w:sz w:val="21"/>
          <w:szCs w:val="21"/>
        </w:rPr>
        <w:t xml:space="preserve"/>
      </w:r>
    </w:p>
    <w:p>
      <w:pPr>
        <w:spacing w:after="80" w:before="60"/>
      </w:pPr>
      <w:r>
        <w:rPr>
          <w:rFonts w:ascii="Arial" w:cs="Arial" w:eastAsia="Arial" w:hAnsi="Arial"/>
          <w:sz w:val="21"/>
          <w:szCs w:val="21"/>
        </w:rPr>
        <w:t xml:space="preserve">Romeo and Julia together hold around 1,200 exotic plant species from tropical, Mediterranean, desert, and temperate zones [A]. The acoustic layer of this system will, to our knowledge, be the first systematic attempt to characterise ultrasonic stress emissions across that kind of species diversity in a real greenhouse setting.</w:t>
      </w:r>
    </w:p>
    <w:p>
      <w:pPr>
        <w:spacing w:after="60" w:before="60"/>
      </w:pPr>
      <w:r>
        <w:rPr>
          <w:rFonts w:ascii="Arial" w:cs="Arial" w:eastAsia="Arial" w:hAnsi="Arial"/>
          <w:sz w:val="21"/>
          <w:szCs w:val="21"/>
        </w:rPr>
        <w:t xml:space="preserve"/>
      </w:r>
    </w:p>
    <w:p>
      <w:pPr>
        <w:pBdr>
          <w:bottom w:val="single" w:color="CCCCCC" w:sz="4" w:space="1"/>
        </w:pBdr>
        <w:spacing w:after="100" w:before="100"/>
      </w:pPr>
      <w:r>
        <w:rPr>
          <w:rFonts w:ascii="Arial" w:cs="Arial" w:eastAsia="Arial" w:hAnsi="Arial"/>
          <w:sz w:val="21"/>
          <w:szCs w:val="21"/>
        </w:rPr>
        <w:t xml:space="preserve"/>
      </w:r>
    </w:p>
    <w:p>
      <w:pPr>
        <w:pStyle w:val="Heading1"/>
        <w:spacing w:after="120" w:before="280"/>
      </w:pPr>
      <w:r>
        <w:rPr>
          <w:rFonts w:ascii="Arial" w:cs="Arial" w:eastAsia="Arial" w:hAnsi="Arial"/>
          <w:b/>
          <w:bCs/>
          <w:color w:val="1B3F6B"/>
          <w:sz w:val="30"/>
          <w:szCs w:val="30"/>
        </w:rPr>
        <w:t xml:space="preserve">2. The Scientific Foundation</w:t>
      </w:r>
    </w:p>
    <w:p>
      <w:pPr>
        <w:spacing w:after="80" w:before="60"/>
      </w:pPr>
      <w:r>
        <w:rPr>
          <w:rFonts w:ascii="Arial" w:cs="Arial" w:eastAsia="Arial" w:hAnsi="Arial"/>
          <w:sz w:val="21"/>
          <w:szCs w:val="21"/>
        </w:rPr>
        <w:t xml:space="preserve">Research published in </w:t>
      </w:r>
      <w:r>
        <w:rPr>
          <w:rFonts w:ascii="Arial" w:cs="Arial" w:eastAsia="Arial" w:hAnsi="Arial"/>
          <w:i/>
          <w:iCs/>
          <w:sz w:val="21"/>
          <w:szCs w:val="21"/>
        </w:rPr>
        <w:t xml:space="preserve">Cell</w:t>
      </w:r>
      <w:r>
        <w:rPr>
          <w:rFonts w:ascii="Arial" w:cs="Arial" w:eastAsia="Arial" w:hAnsi="Arial"/>
          <w:sz w:val="21"/>
          <w:szCs w:val="21"/>
        </w:rPr>
        <w:t xml:space="preserve"> (Khait et al., 2023) established that plants under drought and physical stress emit airborne ultrasonic clicks in the 20 to 100 kHz range, detectable from up to 5 metres away [1]. A machine learning model trained on those recordings could separate drought stress, cutting injury, and healthy plants by sound alone. That paper covered tomato and tobacco plants.</w:t>
      </w:r>
    </w:p>
    <w:p>
      <w:pPr>
        <w:spacing w:after="60" w:before="60"/>
      </w:pPr>
      <w:r>
        <w:rPr>
          <w:rFonts w:ascii="Arial" w:cs="Arial" w:eastAsia="Arial" w:hAnsi="Arial"/>
          <w:sz w:val="21"/>
          <w:szCs w:val="21"/>
        </w:rPr>
        <w:t xml:space="preserve"/>
      </w:r>
    </w:p>
    <w:p>
      <w:pPr>
        <w:spacing w:after="80" w:before="60"/>
      </w:pPr>
      <w:r>
        <w:rPr>
          <w:rFonts w:ascii="Arial" w:cs="Arial" w:eastAsia="Arial" w:hAnsi="Arial"/>
          <w:sz w:val="21"/>
          <w:szCs w:val="21"/>
        </w:rPr>
        <w:t xml:space="preserve">Since then, the field has moved quickly. Acoustic stress signals have been detected in grapevine and Arabica coffee under drought conditions [2]. A 2024 study detected early-stage disease in maize stems acoustically, four to five days before visual symptoms appeared [2]. A 2025 study confirmed that plant acoustic emissions remain detectable in noisy real-world environments including wind and visitor noise [3].</w:t>
      </w:r>
    </w:p>
    <w:p>
      <w:pPr>
        <w:spacing w:after="60" w:before="60"/>
      </w:pPr>
      <w:r>
        <w:rPr>
          <w:rFonts w:ascii="Arial" w:cs="Arial" w:eastAsia="Arial" w:hAnsi="Arial"/>
          <w:sz w:val="21"/>
          <w:szCs w:val="21"/>
        </w:rPr>
        <w:t xml:space="preserve"/>
      </w:r>
    </w:p>
    <w:p>
      <w:pPr>
        <w:spacing w:after="80" w:before="60"/>
      </w:pPr>
      <w:r>
        <w:rPr>
          <w:rFonts w:ascii="Arial" w:cs="Arial" w:eastAsia="Arial" w:hAnsi="Arial"/>
          <w:sz w:val="21"/>
          <w:szCs w:val="21"/>
        </w:rPr>
        <w:t xml:space="preserve">What the field does not have yet is data from a wide diversity of species in a real mixed-species greenhouse. That is the gap PhytoSense addresses.</w:t>
      </w:r>
    </w:p>
    <w:p>
      <w:pPr>
        <w:spacing w:after="60" w:before="60"/>
      </w:pPr>
      <w:r>
        <w:rPr>
          <w:rFonts w:ascii="Arial" w:cs="Arial" w:eastAsia="Arial" w:hAnsi="Arial"/>
          <w:sz w:val="21"/>
          <w:szCs w:val="21"/>
        </w:rPr>
        <w:t xml:space="preserve"/>
      </w:r>
    </w:p>
    <w:p>
      <w:pPr>
        <w:pBdr>
          <w:left w:val="single" w:color="2E7D4F" w:sz="12" w:space="8"/>
        </w:pBdr>
        <w:shd w:fill="EAF4EE" w:val="clear"/>
        <w:spacing w:after="100" w:before="100"/>
        <w:ind w:left="240" w:right="240"/>
      </w:pPr>
      <w:r>
        <w:rPr>
          <w:rFonts w:ascii="Arial" w:cs="Arial" w:eastAsia="Arial" w:hAnsi="Arial"/>
          <w:i/>
          <w:iCs/>
          <w:color w:val="2E4A2E"/>
          <w:sz w:val="21"/>
          <w:szCs w:val="21"/>
        </w:rPr>
        <w:t xml:space="preserve">The botanical garden is not a constraint on this project. It is the reason the project is scientifically interesting.</w:t>
      </w:r>
    </w:p>
    <w:p>
      <w:pPr>
        <w:spacing w:after="60" w:before="60"/>
      </w:pPr>
      <w:r>
        <w:rPr>
          <w:rFonts w:ascii="Arial" w:cs="Arial" w:eastAsia="Arial" w:hAnsi="Arial"/>
          <w:sz w:val="21"/>
          <w:szCs w:val="21"/>
        </w:rPr>
        <w:t xml:space="preserve"/>
      </w:r>
    </w:p>
    <w:p>
      <w:pPr>
        <w:pBdr>
          <w:bottom w:val="single" w:color="CCCCCC" w:sz="4" w:space="1"/>
        </w:pBdr>
        <w:spacing w:after="100" w:before="100"/>
      </w:pPr>
      <w:r>
        <w:rPr>
          <w:rFonts w:ascii="Arial" w:cs="Arial" w:eastAsia="Arial" w:hAnsi="Arial"/>
          <w:sz w:val="21"/>
          <w:szCs w:val="21"/>
        </w:rPr>
        <w:t xml:space="preserve"/>
      </w:r>
    </w:p>
    <w:p>
      <w:pPr>
        <w:pStyle w:val="Heading1"/>
        <w:spacing w:after="120" w:before="280"/>
      </w:pPr>
      <w:r>
        <w:rPr>
          <w:rFonts w:ascii="Arial" w:cs="Arial" w:eastAsia="Arial" w:hAnsi="Arial"/>
          <w:b/>
          <w:bCs/>
          <w:color w:val="1B3F6B"/>
          <w:sz w:val="30"/>
          <w:szCs w:val="30"/>
        </w:rPr>
        <w:t xml:space="preserve">3. What We Are Trying to Do</w:t>
      </w:r>
    </w:p>
    <w:p>
      <w:pPr>
        <w:pStyle w:val="Heading2"/>
        <w:spacing w:after="100" w:before="200"/>
      </w:pPr>
      <w:r>
        <w:rPr>
          <w:rFonts w:ascii="Arial" w:cs="Arial" w:eastAsia="Arial" w:hAnsi="Arial"/>
          <w:b/>
          <w:bCs/>
          <w:color w:val="2E7D4F"/>
          <w:sz w:val="24"/>
          <w:szCs w:val="24"/>
        </w:rPr>
        <w:t xml:space="preserve">Immediate goals for the MVP</w:t>
      </w:r>
    </w:p>
    <w:p>
      <w:pPr>
        <w:pStyle w:val="ListParagraph"/>
        <w:numPr>
          <w:ilvl w:val="0"/>
          <w:numId w:val="2"/>
        </w:numPr>
        <w:spacing w:after="30" w:before="30"/>
      </w:pPr>
      <w:r>
        <w:rPr>
          <w:rFonts w:ascii="Arial" w:cs="Arial" w:eastAsia="Arial" w:hAnsi="Arial"/>
          <w:sz w:val="21"/>
          <w:szCs w:val="21"/>
        </w:rPr>
        <w:t xml:space="preserve">Install four sensor nodes across one zone of Romeo or Julia</w:t>
      </w:r>
    </w:p>
    <w:p>
      <w:pPr>
        <w:pStyle w:val="ListParagraph"/>
        <w:numPr>
          <w:ilvl w:val="0"/>
          <w:numId w:val="2"/>
        </w:numPr>
        <w:spacing w:after="30" w:before="30"/>
      </w:pPr>
      <w:r>
        <w:rPr>
          <w:rFonts w:ascii="Arial" w:cs="Arial" w:eastAsia="Arial" w:hAnsi="Arial"/>
          <w:sz w:val="21"/>
          <w:szCs w:val="21"/>
        </w:rPr>
        <w:t xml:space="preserve">Build a baseline acoustic and environmental profile for that zone over 4 to 6 weeks</w:t>
      </w:r>
    </w:p>
    <w:p>
      <w:pPr>
        <w:pStyle w:val="ListParagraph"/>
        <w:numPr>
          <w:ilvl w:val="0"/>
          <w:numId w:val="2"/>
        </w:numPr>
        <w:spacing w:after="30" w:before="30"/>
      </w:pPr>
      <w:r>
        <w:rPr>
          <w:rFonts w:ascii="Arial" w:cs="Arial" w:eastAsia="Arial" w:hAnsi="Arial"/>
          <w:sz w:val="21"/>
          <w:szCs w:val="21"/>
        </w:rPr>
        <w:t xml:space="preserve">Detect acoustic stress events and correlate them with soil moisture and humidity readings</w:t>
      </w:r>
    </w:p>
    <w:p>
      <w:pPr>
        <w:pStyle w:val="ListParagraph"/>
        <w:numPr>
          <w:ilvl w:val="0"/>
          <w:numId w:val="2"/>
        </w:numPr>
        <w:spacing w:after="30" w:before="30"/>
      </w:pPr>
      <w:r>
        <w:rPr>
          <w:rFonts w:ascii="Arial" w:cs="Arial" w:eastAsia="Arial" w:hAnsi="Arial"/>
          <w:sz w:val="21"/>
          <w:szCs w:val="21"/>
        </w:rPr>
        <w:t xml:space="preserve">Alert staff when environmental conditions drift outside safe thresholds for that zone</w:t>
      </w:r>
    </w:p>
    <w:p>
      <w:pPr>
        <w:pStyle w:val="ListParagraph"/>
        <w:numPr>
          <w:ilvl w:val="0"/>
          <w:numId w:val="2"/>
        </w:numPr>
        <w:spacing w:after="30" w:before="30"/>
      </w:pPr>
      <w:r>
        <w:rPr>
          <w:rFonts w:ascii="Arial" w:cs="Arial" w:eastAsia="Arial" w:hAnsi="Arial"/>
          <w:sz w:val="21"/>
          <w:szCs w:val="21"/>
        </w:rPr>
        <w:t xml:space="preserve">Log all data to a time-series workbook accessible to garden staff and researchers</w:t>
      </w:r>
    </w:p>
    <w:p>
      <w:pPr>
        <w:spacing w:after="60" w:before="60"/>
      </w:pPr>
      <w:r>
        <w:rPr>
          <w:rFonts w:ascii="Arial" w:cs="Arial" w:eastAsia="Arial" w:hAnsi="Arial"/>
          <w:sz w:val="21"/>
          <w:szCs w:val="21"/>
        </w:rPr>
        <w:t xml:space="preserve"/>
      </w:r>
    </w:p>
    <w:p>
      <w:pPr>
        <w:pStyle w:val="Heading2"/>
        <w:spacing w:after="100" w:before="200"/>
      </w:pPr>
      <w:r>
        <w:rPr>
          <w:rFonts w:ascii="Arial" w:cs="Arial" w:eastAsia="Arial" w:hAnsi="Arial"/>
          <w:b/>
          <w:bCs/>
          <w:color w:val="2E7D4F"/>
          <w:sz w:val="24"/>
          <w:szCs w:val="24"/>
        </w:rPr>
        <w:t xml:space="preserve">Research goals</w:t>
      </w:r>
    </w:p>
    <w:p>
      <w:pPr>
        <w:pStyle w:val="ListParagraph"/>
        <w:numPr>
          <w:ilvl w:val="0"/>
          <w:numId w:val="2"/>
        </w:numPr>
        <w:spacing w:after="30" w:before="30"/>
      </w:pPr>
      <w:r>
        <w:rPr>
          <w:rFonts w:ascii="Arial" w:cs="Arial" w:eastAsia="Arial" w:hAnsi="Arial"/>
          <w:sz w:val="21"/>
          <w:szCs w:val="21"/>
        </w:rPr>
        <w:t xml:space="preserve">Determine whether species in the target zone produce detectable airborne acoustic signals under natural stress conditions</w:t>
      </w:r>
    </w:p>
    <w:p>
      <w:pPr>
        <w:pStyle w:val="ListParagraph"/>
        <w:numPr>
          <w:ilvl w:val="0"/>
          <w:numId w:val="2"/>
        </w:numPr>
        <w:spacing w:after="30" w:before="30"/>
      </w:pPr>
      <w:r>
        <w:rPr>
          <w:rFonts w:ascii="Arial" w:cs="Arial" w:eastAsia="Arial" w:hAnsi="Arial"/>
          <w:sz w:val="21"/>
          <w:szCs w:val="21"/>
        </w:rPr>
        <w:t xml:space="preserve">Cross-reference acoustic events with the garden's accession database to identify candidate species for follow-up contact-sensor studies</w:t>
      </w:r>
    </w:p>
    <w:p>
      <w:pPr>
        <w:pStyle w:val="ListParagraph"/>
        <w:numPr>
          <w:ilvl w:val="0"/>
          <w:numId w:val="2"/>
        </w:numPr>
        <w:spacing w:after="30" w:before="30"/>
      </w:pPr>
      <w:r>
        <w:rPr>
          <w:rFonts w:ascii="Arial" w:cs="Arial" w:eastAsia="Arial" w:hAnsi="Arial"/>
          <w:sz w:val="21"/>
          <w:szCs w:val="21"/>
        </w:rPr>
        <w:t xml:space="preserve">Contribute a dataset and methodology that other botanical gardens can replicate</w:t>
      </w:r>
    </w:p>
    <w:p>
      <w:pPr>
        <w:spacing w:after="60" w:before="60"/>
      </w:pPr>
      <w:r>
        <w:rPr>
          <w:rFonts w:ascii="Arial" w:cs="Arial" w:eastAsia="Arial" w:hAnsi="Arial"/>
          <w:sz w:val="21"/>
          <w:szCs w:val="21"/>
        </w:rPr>
        <w:t xml:space="preserve"/>
      </w:r>
    </w:p>
    <w:p>
      <w:pPr>
        <w:pBdr>
          <w:bottom w:val="single" w:color="CCCCCC" w:sz="4" w:space="1"/>
        </w:pBdr>
        <w:spacing w:after="100" w:before="100"/>
      </w:pPr>
      <w:r>
        <w:rPr>
          <w:rFonts w:ascii="Arial" w:cs="Arial" w:eastAsia="Arial" w:hAnsi="Arial"/>
          <w:sz w:val="21"/>
          <w:szCs w:val="21"/>
        </w:rPr>
        <w:t xml:space="preserve"/>
      </w:r>
    </w:p>
    <w:p>
      <w:pPr>
        <w:pStyle w:val="Heading1"/>
        <w:spacing w:after="120" w:before="280"/>
      </w:pPr>
      <w:r>
        <w:rPr>
          <w:rFonts w:ascii="Arial" w:cs="Arial" w:eastAsia="Arial" w:hAnsi="Arial"/>
          <w:b/>
          <w:bCs/>
          <w:color w:val="1B3F6B"/>
          <w:sz w:val="30"/>
          <w:szCs w:val="30"/>
        </w:rPr>
        <w:t xml:space="preserve">4. Why This Adds Value to the Garden</w:t>
      </w:r>
    </w:p>
    <w:p>
      <w:pPr>
        <w:pStyle w:val="Heading2"/>
        <w:spacing w:after="100" w:before="200"/>
      </w:pPr>
      <w:r>
        <w:rPr>
          <w:rFonts w:ascii="Arial" w:cs="Arial" w:eastAsia="Arial" w:hAnsi="Arial"/>
          <w:b/>
          <w:bCs/>
          <w:color w:val="2E7D4F"/>
          <w:sz w:val="24"/>
          <w:szCs w:val="24"/>
        </w:rPr>
        <w:t xml:space="preserve">For the horticulture staff</w:t>
      </w:r>
    </w:p>
    <w:p>
      <w:pPr>
        <w:spacing w:after="80" w:before="60"/>
      </w:pPr>
      <w:r>
        <w:rPr>
          <w:rFonts w:ascii="Arial" w:cs="Arial" w:eastAsia="Arial" w:hAnsi="Arial"/>
          <w:sz w:val="21"/>
          <w:szCs w:val="21"/>
        </w:rPr>
        <w:t xml:space="preserve">Romeo and Julia hold rare and irreplaceable specimens. Some are decades old or difficult to source. Staff currently have no continuous data on whether the tropical corner of Romeo maintains adequate humidity through a Finnish winter night, or whether the desert section of Julia gets overwatered between rounds. PhytoSense answers those questions automatically, 24 hours a day, without anyone walking the floor.</w:t>
      </w:r>
    </w:p>
    <w:p>
      <w:pPr>
        <w:spacing w:after="60" w:before="60"/>
      </w:pPr>
      <w:r>
        <w:rPr>
          <w:rFonts w:ascii="Arial" w:cs="Arial" w:eastAsia="Arial" w:hAnsi="Arial"/>
          <w:sz w:val="21"/>
          <w:szCs w:val="21"/>
        </w:rPr>
        <w:t xml:space="preserve"/>
      </w:r>
    </w:p>
    <w:p>
      <w:pPr>
        <w:spacing w:after="80" w:before="60"/>
      </w:pPr>
      <w:r>
        <w:rPr>
          <w:rFonts w:ascii="Arial" w:cs="Arial" w:eastAsia="Arial" w:hAnsi="Arial"/>
          <w:sz w:val="21"/>
          <w:szCs w:val="21"/>
        </w:rPr>
        <w:t xml:space="preserve">The environmental alert system works regardless of whether the acoustic layer detects anything. Soil moisture dropping below threshold, humidity spiking in a zone before fungal conditions develop, temperature anomalies near the glass walls in winter: all of these generate staff alerts the moment they happen.</w:t>
      </w:r>
    </w:p>
    <w:p>
      <w:pPr>
        <w:spacing w:after="60" w:before="60"/>
      </w:pPr>
      <w:r>
        <w:rPr>
          <w:rFonts w:ascii="Arial" w:cs="Arial" w:eastAsia="Arial" w:hAnsi="Arial"/>
          <w:sz w:val="21"/>
          <w:szCs w:val="21"/>
        </w:rPr>
        <w:t xml:space="preserve"/>
      </w:r>
    </w:p>
    <w:p>
      <w:pPr>
        <w:pStyle w:val="Heading2"/>
        <w:spacing w:after="100" w:before="200"/>
      </w:pPr>
      <w:r>
        <w:rPr>
          <w:rFonts w:ascii="Arial" w:cs="Arial" w:eastAsia="Arial" w:hAnsi="Arial"/>
          <w:b/>
          <w:bCs/>
          <w:color w:val="2E7D4F"/>
          <w:sz w:val="24"/>
          <w:szCs w:val="24"/>
        </w:rPr>
        <w:t xml:space="preserve">For the garden as a research institution</w:t>
      </w:r>
    </w:p>
    <w:p>
      <w:pPr>
        <w:spacing w:after="80" w:before="60"/>
      </w:pPr>
      <w:r>
        <w:rPr>
          <w:rFonts w:ascii="Arial" w:cs="Arial" w:eastAsia="Arial" w:hAnsi="Arial"/>
          <w:sz w:val="21"/>
          <w:szCs w:val="21"/>
        </w:rPr>
        <w:t xml:space="preserve">The garden's stated mission is teaching and research, and it functions as a research support unit providing living plant material and practical assistance to researchers [A]. A sensor network that generates continuous acoustic and environmental data, cross-referenced against a documented accession database of 1,200 species, is exactly the kind of infrastructure that supports that mission. </w:t>
      </w:r>
      <w:r>
        <w:rPr>
          <w:rFonts w:ascii="Arial" w:cs="Arial" w:eastAsia="Arial" w:hAnsi="Arial"/>
          <w:b/>
          <w:bCs/>
          <w:sz w:val="21"/>
          <w:szCs w:val="21"/>
        </w:rPr>
        <w:t xml:space="preserve">This is not a gadget project. It is research infrastructure.</w:t>
      </w:r>
    </w:p>
    <w:p>
      <w:pPr>
        <w:spacing w:after="60" w:before="60"/>
      </w:pPr>
      <w:r>
        <w:rPr>
          <w:rFonts w:ascii="Arial" w:cs="Arial" w:eastAsia="Arial" w:hAnsi="Arial"/>
          <w:sz w:val="21"/>
          <w:szCs w:val="21"/>
        </w:rPr>
        <w:t xml:space="preserve"/>
      </w:r>
    </w:p>
    <w:p>
      <w:pPr>
        <w:spacing w:after="80" w:before="60"/>
      </w:pPr>
      <w:r>
        <w:rPr>
          <w:rFonts w:ascii="Arial" w:cs="Arial" w:eastAsia="Arial" w:hAnsi="Arial"/>
          <w:sz w:val="21"/>
          <w:szCs w:val="21"/>
        </w:rPr>
        <w:t xml:space="preserve">The University of Oulu biology department is the natural collaborator for data analysis. The dataset PhytoSense generates does not currently exist anywhere in the literature. That is a direct publication pathway from a project that costs less than most research equipment purchases.</w:t>
      </w:r>
    </w:p>
    <w:p>
      <w:pPr>
        <w:spacing w:after="60" w:before="60"/>
      </w:pPr>
      <w:r>
        <w:rPr>
          <w:rFonts w:ascii="Arial" w:cs="Arial" w:eastAsia="Arial" w:hAnsi="Arial"/>
          <w:sz w:val="21"/>
          <w:szCs w:val="21"/>
        </w:rPr>
        <w:t xml:space="preserve"/>
      </w:r>
    </w:p>
    <w:p>
      <w:pPr>
        <w:pStyle w:val="Heading2"/>
        <w:spacing w:after="100" w:before="200"/>
      </w:pPr>
      <w:r>
        <w:rPr>
          <w:rFonts w:ascii="Arial" w:cs="Arial" w:eastAsia="Arial" w:hAnsi="Arial"/>
          <w:b/>
          <w:bCs/>
          <w:color w:val="2E7D4F"/>
          <w:sz w:val="24"/>
          <w:szCs w:val="24"/>
        </w:rPr>
        <w:t xml:space="preserve">For visitors</w:t>
      </w:r>
    </w:p>
    <w:p>
      <w:pPr>
        <w:spacing w:after="80" w:before="60"/>
      </w:pPr>
      <w:r>
        <w:rPr>
          <w:rFonts w:ascii="Arial" w:cs="Arial" w:eastAsia="Arial" w:hAnsi="Arial"/>
          <w:sz w:val="21"/>
          <w:szCs w:val="21"/>
        </w:rPr>
        <w:t xml:space="preserve">A real-time dashboard showing live environmental conditions across Romeo and Julia, with a floor plan display of sensor zones, is a genuinely engaging exhibit. Botanical gardens benefit from interactive elements that connect visitors to the science happening around them. The sensor network provides that without any additional hardware.</w:t>
      </w:r>
    </w:p>
    <w:p>
      <w:pPr>
        <w:spacing w:after="60" w:before="60"/>
      </w:pPr>
      <w:r>
        <w:rPr>
          <w:rFonts w:ascii="Arial" w:cs="Arial" w:eastAsia="Arial" w:hAnsi="Arial"/>
          <w:sz w:val="21"/>
          <w:szCs w:val="21"/>
        </w:rPr>
        <w:t xml:space="preserve"/>
      </w:r>
    </w:p>
    <w:p>
      <w:pPr>
        <w:pBdr>
          <w:bottom w:val="single" w:color="CCCCCC" w:sz="4" w:space="1"/>
        </w:pBdr>
        <w:spacing w:after="100" w:before="100"/>
      </w:pPr>
      <w:r>
        <w:rPr>
          <w:rFonts w:ascii="Arial" w:cs="Arial" w:eastAsia="Arial" w:hAnsi="Arial"/>
          <w:sz w:val="21"/>
          <w:szCs w:val="21"/>
        </w:rPr>
        <w:t xml:space="preserve"/>
      </w:r>
    </w:p>
    <w:p>
      <w:pPr>
        <w:pStyle w:val="Heading1"/>
        <w:spacing w:after="120" w:before="280"/>
      </w:pPr>
      <w:r>
        <w:rPr>
          <w:rFonts w:ascii="Arial" w:cs="Arial" w:eastAsia="Arial" w:hAnsi="Arial"/>
          <w:b/>
          <w:bCs/>
          <w:color w:val="1B3F6B"/>
          <w:sz w:val="30"/>
          <w:szCs w:val="30"/>
        </w:rPr>
        <w:t xml:space="preserve">5. Why This Project Is Worth Selecting</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5960"/>
      </w:tblGrid>
      <w:tr>
        <w:trPr>
          <w:tblHeader/>
        </w:trPr>
        <w:tc>
          <w:tcPr>
            <w:tcW w:type="dxa" w:w="3200"/>
            <w:tcBorders>
              <w:top w:val="single" w:color="1B3F6B" w:sz="1"/>
              <w:left w:val="single" w:color="1B3F6B" w:sz="1"/>
              <w:bottom w:val="single" w:color="1B3F6B" w:sz="1"/>
              <w:right w:val="single" w:color="1B3F6B" w:sz="1"/>
            </w:tcBorders>
            <w:shd w:fill="1B3F6B" w:val="clear"/>
            <w:tcMar>
              <w:top w:type="dxa" w:w="80"/>
              <w:left w:type="dxa" w:w="120"/>
              <w:bottom w:type="dxa" w:w="80"/>
              <w:right w:type="dxa" w:w="120"/>
            </w:tcMar>
          </w:tcPr>
          <w:p>
            <w:r>
              <w:rPr>
                <w:rFonts w:ascii="Arial" w:cs="Arial" w:eastAsia="Arial" w:hAnsi="Arial"/>
                <w:b/>
                <w:bCs/>
                <w:color w:val="FFFFFF"/>
                <w:sz w:val="19"/>
                <w:szCs w:val="19"/>
              </w:rPr>
              <w:t xml:space="preserve">Advantage</w:t>
            </w:r>
          </w:p>
        </w:tc>
        <w:tc>
          <w:tcPr>
            <w:tcW w:type="dxa" w:w="5960"/>
            <w:tcBorders>
              <w:top w:val="single" w:color="1B3F6B" w:sz="1"/>
              <w:left w:val="single" w:color="1B3F6B" w:sz="1"/>
              <w:bottom w:val="single" w:color="1B3F6B" w:sz="1"/>
              <w:right w:val="single" w:color="1B3F6B" w:sz="1"/>
            </w:tcBorders>
            <w:shd w:fill="1B3F6B" w:val="clear"/>
            <w:tcMar>
              <w:top w:type="dxa" w:w="80"/>
              <w:left w:type="dxa" w:w="120"/>
              <w:bottom w:type="dxa" w:w="80"/>
              <w:right w:type="dxa" w:w="120"/>
            </w:tcMar>
          </w:tcPr>
          <w:p>
            <w:r>
              <w:rPr>
                <w:rFonts w:ascii="Arial" w:cs="Arial" w:eastAsia="Arial" w:hAnsi="Arial"/>
                <w:b/>
                <w:bCs/>
                <w:color w:val="FFFFFF"/>
                <w:sz w:val="19"/>
                <w:szCs w:val="19"/>
              </w:rPr>
              <w:t xml:space="preserve">Why It Matters</w:t>
            </w:r>
          </w:p>
        </w:tc>
      </w:tr>
      <w:tr>
        <w:tc>
          <w:tcPr>
            <w:tcW w:type="dxa" w:w="32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sz w:val="19"/>
                <w:szCs w:val="19"/>
              </w:rPr>
              <w:t xml:space="preserve">First-of-its-kind dataset</w:t>
            </w:r>
          </w:p>
        </w:tc>
        <w:tc>
          <w:tcPr>
            <w:tcW w:type="dxa" w:w="596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sz w:val="19"/>
                <w:szCs w:val="19"/>
              </w:rPr>
              <w:t xml:space="preserve">No systematic acoustic study exists across this species diversity. The garden is uniquely positioned to produce it.</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Immediately useful to staff</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Environmental monitoring and alerting works from day one, independent of the acoustic research outcomes.</w:t>
            </w:r>
          </w:p>
        </w:tc>
      </w:tr>
      <w:tr>
        <w:tc>
          <w:tcPr>
            <w:tcW w:type="dxa" w:w="32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sz w:val="19"/>
                <w:szCs w:val="19"/>
              </w:rPr>
              <w:t xml:space="preserve">Low cost, high scientific return</w:t>
            </w:r>
          </w:p>
        </w:tc>
        <w:tc>
          <w:tcPr>
            <w:tcW w:type="dxa" w:w="596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sz w:val="19"/>
                <w:szCs w:val="19"/>
              </w:rPr>
              <w:t xml:space="preserve">The full MVP costs under EUR 240 in hardware. The dataset it produces cannot be replicated in a lab at any price.</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Clear publication pathway</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Acoustic profiles or their absence across 1,200 species is publishable. Negative results are as valuable as positive ones right now.</w:t>
            </w:r>
          </w:p>
        </w:tc>
      </w:tr>
      <w:tr>
        <w:tc>
          <w:tcPr>
            <w:tcW w:type="dxa" w:w="32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sz w:val="19"/>
                <w:szCs w:val="19"/>
              </w:rPr>
              <w:t xml:space="preserve">Scales with the garden</w:t>
            </w:r>
          </w:p>
        </w:tc>
        <w:tc>
          <w:tcPr>
            <w:tcW w:type="dxa" w:w="596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sz w:val="19"/>
                <w:szCs w:val="19"/>
              </w:rPr>
              <w:t xml:space="preserve">The MVP is four nodes. The architecture supports 16 to 20 nodes across both greenhouses without redesign.</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Cross-faculty collaboration</w:t>
            </w:r>
          </w:p>
        </w:tc>
        <w:tc>
          <w:tcPr>
            <w:tcW w:type="dxa" w:w="5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Biology, computer science, and electrical engineering all have natural roles. This is the kind of project university committees fund.</w:t>
            </w:r>
          </w:p>
        </w:tc>
      </w:tr>
      <w:tr>
        <w:tc>
          <w:tcPr>
            <w:tcW w:type="dxa" w:w="32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sz w:val="19"/>
                <w:szCs w:val="19"/>
              </w:rPr>
              <w:t xml:space="preserve">Visitor engagement</w:t>
            </w:r>
          </w:p>
        </w:tc>
        <w:tc>
          <w:tcPr>
            <w:tcW w:type="dxa" w:w="596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sz w:val="19"/>
                <w:szCs w:val="19"/>
              </w:rPr>
              <w:t xml:space="preserve">A live sensor dashboard is an exhibit, not just an instrument.</w:t>
            </w:r>
          </w:p>
        </w:tc>
      </w:tr>
    </w:tbl>
    <w:p>
      <w:pPr>
        <w:spacing w:after="60" w:before="60"/>
      </w:pPr>
      <w:r>
        <w:rPr>
          <w:rFonts w:ascii="Arial" w:cs="Arial" w:eastAsia="Arial" w:hAnsi="Arial"/>
          <w:sz w:val="21"/>
          <w:szCs w:val="21"/>
        </w:rPr>
        <w:t xml:space="preserve"/>
      </w:r>
    </w:p>
    <w:p>
      <w:pPr>
        <w:pBdr>
          <w:bottom w:val="single" w:color="CCCCCC" w:sz="4" w:space="1"/>
        </w:pBdr>
        <w:spacing w:after="100" w:before="100"/>
      </w:pPr>
      <w:r>
        <w:rPr>
          <w:rFonts w:ascii="Arial" w:cs="Arial" w:eastAsia="Arial" w:hAnsi="Arial"/>
          <w:sz w:val="21"/>
          <w:szCs w:val="21"/>
        </w:rPr>
        <w:t xml:space="preserve"/>
      </w:r>
    </w:p>
    <w:p>
      <w:pPr>
        <w:pStyle w:val="Heading1"/>
        <w:spacing w:after="120" w:before="280"/>
      </w:pPr>
      <w:r>
        <w:rPr>
          <w:rFonts w:ascii="Arial" w:cs="Arial" w:eastAsia="Arial" w:hAnsi="Arial"/>
          <w:b/>
          <w:bCs/>
          <w:color w:val="1B3F6B"/>
          <w:sz w:val="30"/>
          <w:szCs w:val="30"/>
        </w:rPr>
        <w:t xml:space="preserve">6. Publication Opportunities</w:t>
      </w:r>
    </w:p>
    <w:p>
      <w:pPr>
        <w:spacing w:after="80" w:before="60"/>
      </w:pPr>
      <w:r>
        <w:rPr>
          <w:rFonts w:ascii="Arial" w:cs="Arial" w:eastAsia="Arial" w:hAnsi="Arial"/>
          <w:sz w:val="21"/>
          <w:szCs w:val="21"/>
        </w:rPr>
        <w:t xml:space="preserve">The research layer of PhytoSense opens at least three publication directions, each viable regardless of whether acoustic detection succeeds for all species:</w:t>
      </w:r>
    </w:p>
    <w:p>
      <w:pPr>
        <w:spacing w:after="60" w:before="60"/>
      </w:pPr>
      <w:r>
        <w:rPr>
          <w:rFonts w:ascii="Arial" w:cs="Arial" w:eastAsia="Arial" w:hAnsi="Arial"/>
          <w:sz w:val="21"/>
          <w:szCs w:val="21"/>
        </w:rPr>
        <w:t xml:space="preserve"/>
      </w:r>
    </w:p>
    <w:p>
      <w:pPr>
        <w:pStyle w:val="ListParagraph"/>
        <w:numPr>
          <w:ilvl w:val="0"/>
          <w:numId w:val="2"/>
        </w:numPr>
        <w:spacing w:after="30" w:before="30"/>
      </w:pPr>
      <w:r>
        <w:rPr>
          <w:rFonts w:ascii="Arial" w:cs="Arial" w:eastAsia="Arial" w:hAnsi="Arial"/>
          <w:b/>
          <w:bCs/>
          <w:sz w:val="21"/>
          <w:szCs w:val="21"/>
        </w:rPr>
        <w:t xml:space="preserve">Species acoustic survey. </w:t>
      </w:r>
      <w:r>
        <w:rPr>
          <w:rFonts w:ascii="Arial" w:cs="Arial" w:eastAsia="Arial" w:hAnsi="Arial"/>
          <w:sz w:val="21"/>
          <w:szCs w:val="21"/>
        </w:rPr>
        <w:t xml:space="preserve">A dataset of acoustic emission profiles, or confirmed absence, across tropical, Mediterranean, and desert species in a controlled greenhouse. This fills a direct gap in the phytoacoustics literature and is suitable for journals including </w:t>
      </w:r>
      <w:r>
        <w:rPr>
          <w:rFonts w:ascii="Arial" w:cs="Arial" w:eastAsia="Arial" w:hAnsi="Arial"/>
          <w:i/>
          <w:iCs/>
          <w:sz w:val="21"/>
          <w:szCs w:val="21"/>
        </w:rPr>
        <w:t xml:space="preserve">Plant Signaling and Behavior</w:t>
      </w:r>
      <w:r>
        <w:rPr>
          <w:rFonts w:ascii="Arial" w:cs="Arial" w:eastAsia="Arial" w:hAnsi="Arial"/>
          <w:sz w:val="21"/>
          <w:szCs w:val="21"/>
        </w:rPr>
        <w:t xml:space="preserve">, </w:t>
      </w:r>
      <w:r>
        <w:rPr>
          <w:rFonts w:ascii="Arial" w:cs="Arial" w:eastAsia="Arial" w:hAnsi="Arial"/>
          <w:i/>
          <w:iCs/>
          <w:sz w:val="21"/>
          <w:szCs w:val="21"/>
        </w:rPr>
        <w:t xml:space="preserve">Frontiers in Plant Science</w:t>
      </w:r>
      <w:r>
        <w:rPr>
          <w:rFonts w:ascii="Arial" w:cs="Arial" w:eastAsia="Arial" w:hAnsi="Arial"/>
          <w:sz w:val="21"/>
          <w:szCs w:val="21"/>
        </w:rPr>
        <w:t xml:space="preserve">, or </w:t>
      </w:r>
      <w:r>
        <w:rPr>
          <w:rFonts w:ascii="Arial" w:cs="Arial" w:eastAsia="Arial" w:hAnsi="Arial"/>
          <w:i/>
          <w:iCs/>
          <w:sz w:val="21"/>
          <w:szCs w:val="21"/>
        </w:rPr>
        <w:t xml:space="preserve">Sensors</w:t>
      </w:r>
      <w:r>
        <w:rPr>
          <w:rFonts w:ascii="Arial" w:cs="Arial" w:eastAsia="Arial" w:hAnsi="Arial"/>
          <w:sz w:val="21"/>
          <w:szCs w:val="21"/>
        </w:rPr>
        <w:t xml:space="preserve">.</w:t>
      </w:r>
    </w:p>
    <w:p>
      <w:pPr>
        <w:pStyle w:val="ListParagraph"/>
        <w:numPr>
          <w:ilvl w:val="0"/>
          <w:numId w:val="2"/>
        </w:numPr>
        <w:spacing w:after="30" w:before="30"/>
      </w:pPr>
      <w:r>
        <w:rPr>
          <w:rFonts w:ascii="Arial" w:cs="Arial" w:eastAsia="Arial" w:hAnsi="Arial"/>
          <w:b/>
          <w:bCs/>
          <w:sz w:val="21"/>
          <w:szCs w:val="21"/>
        </w:rPr>
        <w:t xml:space="preserve">Methodology paper. </w:t>
      </w:r>
      <w:r>
        <w:rPr>
          <w:rFonts w:ascii="Arial" w:cs="Arial" w:eastAsia="Arial" w:hAnsi="Arial"/>
          <w:sz w:val="21"/>
          <w:szCs w:val="21"/>
        </w:rPr>
        <w:t xml:space="preserve">A standardised protocol for deploying low-cost acoustic mesh networks in mixed-species botanical collections, with open-source firmware and hardware designs. Suitable for </w:t>
      </w:r>
      <w:r>
        <w:rPr>
          <w:rFonts w:ascii="Arial" w:cs="Arial" w:eastAsia="Arial" w:hAnsi="Arial"/>
          <w:i/>
          <w:iCs/>
          <w:sz w:val="21"/>
          <w:szCs w:val="21"/>
        </w:rPr>
        <w:t xml:space="preserve">HardwareX</w:t>
      </w:r>
      <w:r>
        <w:rPr>
          <w:rFonts w:ascii="Arial" w:cs="Arial" w:eastAsia="Arial" w:hAnsi="Arial"/>
          <w:sz w:val="21"/>
          <w:szCs w:val="21"/>
        </w:rPr>
        <w:t xml:space="preserve"> or </w:t>
      </w:r>
      <w:r>
        <w:rPr>
          <w:rFonts w:ascii="Arial" w:cs="Arial" w:eastAsia="Arial" w:hAnsi="Arial"/>
          <w:i/>
          <w:iCs/>
          <w:sz w:val="21"/>
          <w:szCs w:val="21"/>
        </w:rPr>
        <w:t xml:space="preserve">Methods in Ecology and Evolution</w:t>
      </w:r>
      <w:r>
        <w:rPr>
          <w:rFonts w:ascii="Arial" w:cs="Arial" w:eastAsia="Arial" w:hAnsi="Arial"/>
          <w:sz w:val="21"/>
          <w:szCs w:val="21"/>
        </w:rPr>
        <w:t xml:space="preserve">.</w:t>
      </w:r>
    </w:p>
    <w:p>
      <w:pPr>
        <w:pStyle w:val="ListParagraph"/>
        <w:numPr>
          <w:ilvl w:val="0"/>
          <w:numId w:val="2"/>
        </w:numPr>
        <w:spacing w:after="30" w:before="30"/>
      </w:pPr>
      <w:r>
        <w:rPr>
          <w:rFonts w:ascii="Arial" w:cs="Arial" w:eastAsia="Arial" w:hAnsi="Arial"/>
          <w:b/>
          <w:bCs/>
          <w:sz w:val="21"/>
          <w:szCs w:val="21"/>
        </w:rPr>
        <w:t xml:space="preserve">Environmental monitoring study. </w:t>
      </w:r>
      <w:r>
        <w:rPr>
          <w:rFonts w:ascii="Arial" w:cs="Arial" w:eastAsia="Arial" w:hAnsi="Arial"/>
          <w:sz w:val="21"/>
          <w:szCs w:val="21"/>
        </w:rPr>
        <w:t xml:space="preserve">Microclimate heterogeneity across Romeo and Julia, including visitor impact on zone conditions, documented over a full seasonal cycle. Suitable for </w:t>
      </w:r>
      <w:r>
        <w:rPr>
          <w:rFonts w:ascii="Arial" w:cs="Arial" w:eastAsia="Arial" w:hAnsi="Arial"/>
          <w:i/>
          <w:iCs/>
          <w:sz w:val="21"/>
          <w:szCs w:val="21"/>
        </w:rPr>
        <w:t xml:space="preserve">Biosystems Engineering</w:t>
      </w:r>
      <w:r>
        <w:rPr>
          <w:rFonts w:ascii="Arial" w:cs="Arial" w:eastAsia="Arial" w:hAnsi="Arial"/>
          <w:sz w:val="21"/>
          <w:szCs w:val="21"/>
        </w:rPr>
        <w:t xml:space="preserve"> or </w:t>
      </w:r>
      <w:r>
        <w:rPr>
          <w:rFonts w:ascii="Arial" w:cs="Arial" w:eastAsia="Arial" w:hAnsi="Arial"/>
          <w:i/>
          <w:iCs/>
          <w:sz w:val="21"/>
          <w:szCs w:val="21"/>
        </w:rPr>
        <w:t xml:space="preserve">Computers and Electronics in Agriculture</w:t>
      </w:r>
      <w:r>
        <w:rPr>
          <w:rFonts w:ascii="Arial" w:cs="Arial" w:eastAsia="Arial" w:hAnsi="Arial"/>
          <w:sz w:val="21"/>
          <w:szCs w:val="21"/>
        </w:rPr>
        <w:t xml:space="preserve">.</w:t>
      </w:r>
    </w:p>
    <w:p>
      <w:pPr>
        <w:spacing w:after="60" w:before="60"/>
      </w:pPr>
      <w:r>
        <w:rPr>
          <w:rFonts w:ascii="Arial" w:cs="Arial" w:eastAsia="Arial" w:hAnsi="Arial"/>
          <w:sz w:val="21"/>
          <w:szCs w:val="21"/>
        </w:rPr>
        <w:t xml:space="preserve"/>
      </w:r>
    </w:p>
    <w:p>
      <w:pPr>
        <w:pBdr>
          <w:bottom w:val="single" w:color="CCCCCC" w:sz="4" w:space="1"/>
        </w:pBdr>
        <w:spacing w:after="100" w:before="100"/>
      </w:pPr>
      <w:r>
        <w:rPr>
          <w:rFonts w:ascii="Arial" w:cs="Arial" w:eastAsia="Arial" w:hAnsi="Arial"/>
          <w:sz w:val="21"/>
          <w:szCs w:val="21"/>
        </w:rPr>
        <w:t xml:space="preserve"/>
      </w:r>
    </w:p>
    <w:p>
      <w:pPr>
        <w:pStyle w:val="Heading1"/>
        <w:spacing w:after="120" w:before="280"/>
      </w:pPr>
      <w:r>
        <w:rPr>
          <w:rFonts w:ascii="Arial" w:cs="Arial" w:eastAsia="Arial" w:hAnsi="Arial"/>
          <w:b/>
          <w:bCs/>
          <w:color w:val="1B3F6B"/>
          <w:sz w:val="30"/>
          <w:szCs w:val="30"/>
        </w:rPr>
        <w:t xml:space="preserve">7. MVP Cost Breakdown</w:t>
      </w:r>
    </w:p>
    <w:p>
      <w:pPr>
        <w:spacing w:after="80" w:before="60"/>
      </w:pPr>
      <w:r>
        <w:rPr>
          <w:rFonts w:ascii="Arial" w:cs="Arial" w:eastAsia="Arial" w:hAnsi="Arial"/>
          <w:sz w:val="21"/>
          <w:szCs w:val="21"/>
        </w:rPr>
        <w:t xml:space="preserve">The four-node MVP covers one zone of one greenhouse. All software is open source. No cloud services are required.</w:t>
      </w:r>
    </w:p>
    <w:p>
      <w:pPr>
        <w:spacing w:after="60" w:before="60"/>
      </w:pPr>
      <w:r>
        <w:rPr>
          <w:rFonts w:ascii="Arial" w:cs="Arial" w:eastAsia="Arial" w:hAnsi="Arial"/>
          <w:sz w:val="21"/>
          <w:szCs w:val="21"/>
        </w:rP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4200"/>
        <w:gridCol w:w="800"/>
        <w:gridCol w:w="1600"/>
        <w:gridCol w:w="1560"/>
      </w:tblGrid>
      <w:tr>
        <w:trPr>
          <w:tblHeader/>
        </w:trPr>
        <w:tc>
          <w:tcPr>
            <w:tcW w:type="dxa" w:w="4200"/>
            <w:tcBorders>
              <w:top w:val="single" w:color="1B3F6B" w:sz="1"/>
              <w:left w:val="single" w:color="1B3F6B" w:sz="1"/>
              <w:bottom w:val="single" w:color="1B3F6B" w:sz="1"/>
              <w:right w:val="single" w:color="1B3F6B" w:sz="1"/>
            </w:tcBorders>
            <w:shd w:fill="1B3F6B"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800"/>
            <w:tcBorders>
              <w:top w:val="single" w:color="1B3F6B" w:sz="1"/>
              <w:left w:val="single" w:color="1B3F6B" w:sz="1"/>
              <w:bottom w:val="single" w:color="1B3F6B" w:sz="1"/>
              <w:right w:val="single" w:color="1B3F6B" w:sz="1"/>
            </w:tcBorders>
            <w:shd w:fill="1B3F6B" w:val="clear"/>
            <w:tcMar>
              <w:top w:type="dxa" w:w="80"/>
              <w:left w:type="dxa" w:w="120"/>
              <w:bottom w:type="dxa" w:w="80"/>
              <w:right w:type="dxa" w:w="120"/>
            </w:tcMar>
          </w:tcPr>
          <w:p>
            <w:r>
              <w:rPr>
                <w:rFonts w:ascii="Arial" w:cs="Arial" w:eastAsia="Arial" w:hAnsi="Arial"/>
                <w:b/>
                <w:bCs/>
                <w:color w:val="FFFFFF"/>
                <w:sz w:val="19"/>
                <w:szCs w:val="19"/>
              </w:rPr>
              <w:t xml:space="preserve">Qty</w:t>
            </w:r>
          </w:p>
        </w:tc>
        <w:tc>
          <w:tcPr>
            <w:tcW w:type="dxa" w:w="1600"/>
            <w:tcBorders>
              <w:top w:val="single" w:color="1B3F6B" w:sz="1"/>
              <w:left w:val="single" w:color="1B3F6B" w:sz="1"/>
              <w:bottom w:val="single" w:color="1B3F6B" w:sz="1"/>
              <w:right w:val="single" w:color="1B3F6B" w:sz="1"/>
            </w:tcBorders>
            <w:shd w:fill="1B3F6B" w:val="clear"/>
            <w:tcMar>
              <w:top w:type="dxa" w:w="80"/>
              <w:left w:type="dxa" w:w="120"/>
              <w:bottom w:type="dxa" w:w="80"/>
              <w:right w:type="dxa" w:w="120"/>
            </w:tcMar>
          </w:tcPr>
          <w:p>
            <w:r>
              <w:rPr>
                <w:rFonts w:ascii="Arial" w:cs="Arial" w:eastAsia="Arial" w:hAnsi="Arial"/>
                <w:b/>
                <w:bCs/>
                <w:color w:val="FFFFFF"/>
                <w:sz w:val="19"/>
                <w:szCs w:val="19"/>
              </w:rPr>
              <w:t xml:space="preserve">Unit (EUR)</w:t>
            </w:r>
          </w:p>
        </w:tc>
        <w:tc>
          <w:tcPr>
            <w:tcW w:type="dxa" w:w="1560"/>
            <w:tcBorders>
              <w:top w:val="single" w:color="1B3F6B" w:sz="1"/>
              <w:left w:val="single" w:color="1B3F6B" w:sz="1"/>
              <w:bottom w:val="single" w:color="1B3F6B" w:sz="1"/>
              <w:right w:val="single" w:color="1B3F6B" w:sz="1"/>
            </w:tcBorders>
            <w:shd w:fill="1B3F6B" w:val="clear"/>
            <w:tcMar>
              <w:top w:type="dxa" w:w="80"/>
              <w:left w:type="dxa" w:w="120"/>
              <w:bottom w:type="dxa" w:w="80"/>
              <w:right w:type="dxa" w:w="120"/>
            </w:tcMar>
          </w:tcPr>
          <w:p>
            <w:r>
              <w:rPr>
                <w:rFonts w:ascii="Arial" w:cs="Arial" w:eastAsia="Arial" w:hAnsi="Arial"/>
                <w:b/>
                <w:bCs/>
                <w:color w:val="FFFFFF"/>
                <w:sz w:val="19"/>
                <w:szCs w:val="19"/>
              </w:rPr>
              <w:t xml:space="preserve">Total (EUR)</w:t>
            </w:r>
          </w:p>
        </w:tc>
      </w:tr>
      <w:tr>
        <w:tc>
          <w:tcPr>
            <w:tcW w:type="dxa" w:w="42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sz w:val="19"/>
                <w:szCs w:val="19"/>
              </w:rPr>
              <w:t xml:space="preserve">ESP32 DevKit C microcontroller</w:t>
            </w:r>
          </w:p>
        </w:tc>
        <w:tc>
          <w:tcPr>
            <w:tcW w:type="dxa" w:w="8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sz w:val="19"/>
                <w:szCs w:val="19"/>
              </w:rPr>
              <w:t xml:space="preserve">5</w:t>
            </w:r>
          </w:p>
        </w:tc>
        <w:tc>
          <w:tcPr>
            <w:tcW w:type="dxa" w:w="16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sz w:val="19"/>
                <w:szCs w:val="19"/>
              </w:rPr>
              <w:t xml:space="preserve">~8.00</w:t>
            </w:r>
          </w:p>
        </w:tc>
        <w:tc>
          <w:tcPr>
            <w:tcW w:type="dxa" w:w="156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sz w:val="19"/>
                <w:szCs w:val="19"/>
              </w:rPr>
              <w:t xml:space="preserve">~40.00</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ICS-40720 ultrasonic MEMS microphone</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~6.00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~24.00</w:t>
            </w:r>
          </w:p>
        </w:tc>
      </w:tr>
      <w:tr>
        <w:tc>
          <w:tcPr>
            <w:tcW w:type="dxa" w:w="42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sz w:val="19"/>
                <w:szCs w:val="19"/>
              </w:rPr>
              <w:t xml:space="preserve">Capacitive soil moisture sensor v1.2</w:t>
            </w:r>
          </w:p>
        </w:tc>
        <w:tc>
          <w:tcPr>
            <w:tcW w:type="dxa" w:w="8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sz w:val="19"/>
                <w:szCs w:val="19"/>
              </w:rPr>
              <w:t xml:space="preserve">8</w:t>
            </w:r>
          </w:p>
        </w:tc>
        <w:tc>
          <w:tcPr>
            <w:tcW w:type="dxa" w:w="16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sz w:val="19"/>
                <w:szCs w:val="19"/>
              </w:rPr>
              <w:t xml:space="preserve">~1.50</w:t>
            </w:r>
          </w:p>
        </w:tc>
        <w:tc>
          <w:tcPr>
            <w:tcW w:type="dxa" w:w="156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sz w:val="19"/>
                <w:szCs w:val="19"/>
              </w:rPr>
              <w:t xml:space="preserve">~12.00</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Sensirion SHT31-D humidity and temperature sensor</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~4.50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~18.00</w:t>
            </w:r>
          </w:p>
        </w:tc>
      </w:tr>
      <w:tr>
        <w:tc>
          <w:tcPr>
            <w:tcW w:type="dxa" w:w="42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sz w:val="19"/>
                <w:szCs w:val="19"/>
              </w:rPr>
              <w:t xml:space="preserve">Raspberry Pi 4 Model B (2 GB)</w:t>
            </w:r>
          </w:p>
        </w:tc>
        <w:tc>
          <w:tcPr>
            <w:tcW w:type="dxa" w:w="8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sz w:val="19"/>
                <w:szCs w:val="19"/>
              </w:rPr>
              <w:t xml:space="preserve">1</w:t>
            </w:r>
          </w:p>
        </w:tc>
        <w:tc>
          <w:tcPr>
            <w:tcW w:type="dxa" w:w="16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sz w:val="19"/>
                <w:szCs w:val="19"/>
              </w:rPr>
              <w:t xml:space="preserve">~55.00</w:t>
            </w:r>
          </w:p>
        </w:tc>
        <w:tc>
          <w:tcPr>
            <w:tcW w:type="dxa" w:w="156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sz w:val="19"/>
                <w:szCs w:val="19"/>
              </w:rPr>
              <w:t xml:space="preserve">~55.00</w:t>
            </w:r>
          </w:p>
        </w:tc>
      </w:tr>
      <w:tr>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18650 battery, holder, and charge module</w:t>
            </w:r>
          </w:p>
        </w:tc>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~5.50</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~22.00</w:t>
            </w:r>
          </w:p>
        </w:tc>
      </w:tr>
      <w:tr>
        <w:tc>
          <w:tcPr>
            <w:tcW w:type="dxa" w:w="42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sz w:val="19"/>
                <w:szCs w:val="19"/>
              </w:rPr>
              <w:t xml:space="preserve">3D-printed enclosures, PCB boards, cables, misc.</w:t>
            </w:r>
          </w:p>
        </w:tc>
        <w:tc>
          <w:tcPr>
            <w:tcW w:type="dxa" w:w="8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sz w:val="19"/>
                <w:szCs w:val="19"/>
              </w:rPr>
              <w:t xml:space="preserve">1</w:t>
            </w:r>
          </w:p>
        </w:tc>
        <w:tc>
          <w:tcPr>
            <w:tcW w:type="dxa" w:w="16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sz w:val="19"/>
                <w:szCs w:val="19"/>
              </w:rPr>
              <w:t xml:space="preserve">~47.00</w:t>
            </w:r>
          </w:p>
        </w:tc>
        <w:tc>
          <w:tcPr>
            <w:tcW w:type="dxa" w:w="156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sz w:val="19"/>
                <w:szCs w:val="19"/>
              </w:rPr>
              <w:t xml:space="preserve">~47.00</w:t>
            </w:r>
          </w:p>
        </w:tc>
      </w:tr>
    </w:tbl>
    <w:p>
      <w:pPr>
        <w:spacing w:after="60" w:before="60"/>
      </w:pPr>
      <w:r>
        <w:rPr>
          <w:rFonts w:ascii="Arial" w:cs="Arial" w:eastAsia="Arial" w:hAnsi="Arial"/>
          <w:sz w:val="21"/>
          <w:szCs w:val="21"/>
        </w:rPr>
        <w:t xml:space="preserve"/>
      </w:r>
    </w:p>
    <w:p>
      <w:pPr>
        <w:pBdr>
          <w:left w:val="single" w:color="1B3F6B" w:sz="12" w:space="8"/>
        </w:pBdr>
        <w:shd w:fill="F0F4F8" w:val="clear"/>
        <w:spacing w:after="80" w:before="80"/>
        <w:ind w:left="240" w:right="240"/>
      </w:pPr>
      <w:r>
        <w:rPr>
          <w:rFonts w:ascii="Arial" w:cs="Arial" w:eastAsia="Arial" w:hAnsi="Arial"/>
          <w:b/>
          <w:bCs/>
          <w:sz w:val="21"/>
          <w:szCs w:val="21"/>
        </w:rPr>
        <w:t xml:space="preserve">Total MVP hardware cost: approximately EUR 218. </w:t>
      </w:r>
      <w:r>
        <w:rPr>
          <w:rFonts w:ascii="Arial" w:cs="Arial" w:eastAsia="Arial" w:hAnsi="Arial"/>
          <w:sz w:val="21"/>
          <w:szCs w:val="21"/>
        </w:rPr>
        <w:t xml:space="preserve">All software, firmware, and dashboards are open source with no ongoing licence costs.</w:t>
      </w:r>
    </w:p>
    <w:p>
      <w:pPr>
        <w:spacing w:after="60" w:before="60"/>
      </w:pPr>
      <w:r>
        <w:rPr>
          <w:rFonts w:ascii="Arial" w:cs="Arial" w:eastAsia="Arial" w:hAnsi="Arial"/>
          <w:sz w:val="21"/>
          <w:szCs w:val="21"/>
        </w:rPr>
        <w:t xml:space="preserve"/>
      </w:r>
    </w:p>
    <w:p>
      <w:pPr>
        <w:pBdr>
          <w:bottom w:val="single" w:color="CCCCCC" w:sz="4" w:space="1"/>
        </w:pBdr>
        <w:spacing w:after="100" w:before="100"/>
      </w:pPr>
      <w:r>
        <w:rPr>
          <w:rFonts w:ascii="Arial" w:cs="Arial" w:eastAsia="Arial" w:hAnsi="Arial"/>
          <w:sz w:val="21"/>
          <w:szCs w:val="21"/>
        </w:rPr>
        <w:t xml:space="preserve"/>
      </w:r>
    </w:p>
    <w:p>
      <w:pPr>
        <w:pStyle w:val="Heading1"/>
        <w:spacing w:after="120" w:before="280"/>
      </w:pPr>
      <w:r>
        <w:rPr>
          <w:rFonts w:ascii="Arial" w:cs="Arial" w:eastAsia="Arial" w:hAnsi="Arial"/>
          <w:b/>
          <w:bCs/>
          <w:color w:val="1B3F6B"/>
          <w:sz w:val="30"/>
          <w:szCs w:val="30"/>
        </w:rPr>
        <w:t xml:space="preserve">8. Phased Roadmap</w:t>
      </w:r>
    </w:p>
    <w:p>
      <w:pPr>
        <w:spacing w:after="80" w:before="60"/>
      </w:pPr>
      <w:r>
        <w:rPr>
          <w:rFonts w:ascii="Arial" w:cs="Arial" w:eastAsia="Arial" w:hAnsi="Arial"/>
          <w:sz w:val="21"/>
          <w:szCs w:val="21"/>
        </w:rPr>
        <w:t xml:space="preserve">The MVP is phase one of a three-phase plan. The committee is being asked to fund Phase 1 only. Phases 2 and 3 follow on the strength of the data and publications Phase 1 generates.</w:t>
      </w:r>
    </w:p>
    <w:p>
      <w:pPr>
        <w:spacing w:after="60" w:before="60"/>
      </w:pPr>
      <w:r>
        <w:rPr>
          <w:rFonts w:ascii="Arial" w:cs="Arial" w:eastAsia="Arial" w:hAnsi="Arial"/>
          <w:sz w:val="21"/>
          <w:szCs w:val="21"/>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600"/>
        <w:gridCol w:w="2760"/>
      </w:tblGrid>
      <w:tr>
        <w:trPr>
          <w:tblHeader/>
        </w:trPr>
        <w:tc>
          <w:tcPr>
            <w:tcW w:type="dxa" w:w="2600"/>
            <w:tcBorders>
              <w:top w:val="single" w:color="1B3F6B" w:sz="1"/>
              <w:left w:val="single" w:color="1B3F6B" w:sz="1"/>
              <w:bottom w:val="single" w:color="1B3F6B" w:sz="1"/>
              <w:right w:val="single" w:color="1B3F6B" w:sz="1"/>
            </w:tcBorders>
            <w:shd w:fill="1B3F6B"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1200"/>
            <w:tcBorders>
              <w:top w:val="single" w:color="1B3F6B" w:sz="1"/>
              <w:left w:val="single" w:color="1B3F6B" w:sz="1"/>
              <w:bottom w:val="single" w:color="1B3F6B" w:sz="1"/>
              <w:right w:val="single" w:color="1B3F6B" w:sz="1"/>
            </w:tcBorders>
            <w:shd w:fill="1B3F6B" w:val="clear"/>
            <w:tcMar>
              <w:top w:type="dxa" w:w="80"/>
              <w:left w:type="dxa" w:w="120"/>
              <w:bottom w:type="dxa" w:w="80"/>
              <w:right w:type="dxa" w:w="120"/>
            </w:tcMar>
          </w:tcPr>
          <w:p>
            <w:r>
              <w:rPr>
                <w:rFonts w:ascii="Arial" w:cs="Arial" w:eastAsia="Arial" w:hAnsi="Arial"/>
                <w:b/>
                <w:bCs/>
                <w:color w:val="FFFFFF"/>
                <w:sz w:val="19"/>
                <w:szCs w:val="19"/>
              </w:rPr>
              <w:t xml:space="preserve">Nodes</w:t>
            </w:r>
          </w:p>
        </w:tc>
        <w:tc>
          <w:tcPr>
            <w:tcW w:type="dxa" w:w="2600"/>
            <w:tcBorders>
              <w:top w:val="single" w:color="1B3F6B" w:sz="1"/>
              <w:left w:val="single" w:color="1B3F6B" w:sz="1"/>
              <w:bottom w:val="single" w:color="1B3F6B" w:sz="1"/>
              <w:right w:val="single" w:color="1B3F6B" w:sz="1"/>
            </w:tcBorders>
            <w:shd w:fill="1B3F6B" w:val="clear"/>
            <w:tcMar>
              <w:top w:type="dxa" w:w="80"/>
              <w:left w:type="dxa" w:w="120"/>
              <w:bottom w:type="dxa" w:w="80"/>
              <w:right w:type="dxa" w:w="120"/>
            </w:tcMar>
          </w:tcPr>
          <w:p>
            <w:r>
              <w:rPr>
                <w:rFonts w:ascii="Arial" w:cs="Arial" w:eastAsia="Arial" w:hAnsi="Arial"/>
                <w:b/>
                <w:bCs/>
                <w:color w:val="FFFFFF"/>
                <w:sz w:val="19"/>
                <w:szCs w:val="19"/>
              </w:rPr>
              <w:t xml:space="preserve">Scope</w:t>
            </w:r>
          </w:p>
        </w:tc>
        <w:tc>
          <w:tcPr>
            <w:tcW w:type="dxa" w:w="2760"/>
            <w:tcBorders>
              <w:top w:val="single" w:color="1B3F6B" w:sz="1"/>
              <w:left w:val="single" w:color="1B3F6B" w:sz="1"/>
              <w:bottom w:val="single" w:color="1B3F6B" w:sz="1"/>
              <w:right w:val="single" w:color="1B3F6B" w:sz="1"/>
            </w:tcBorders>
            <w:shd w:fill="1B3F6B" w:val="clear"/>
            <w:tcMar>
              <w:top w:type="dxa" w:w="80"/>
              <w:left w:type="dxa" w:w="120"/>
              <w:bottom w:type="dxa" w:w="80"/>
              <w:right w:type="dxa" w:w="120"/>
            </w:tcMar>
          </w:tcPr>
          <w:p>
            <w:r>
              <w:rPr>
                <w:rFonts w:ascii="Arial" w:cs="Arial" w:eastAsia="Arial" w:hAnsi="Arial"/>
                <w:b/>
                <w:bCs/>
                <w:color w:val="FFFFFF"/>
                <w:sz w:val="19"/>
                <w:szCs w:val="19"/>
              </w:rPr>
              <w:t xml:space="preserve">Outcome</w:t>
            </w:r>
          </w:p>
        </w:tc>
      </w:tr>
      <w:tr>
        <w:tc>
          <w:tcPr>
            <w:tcW w:type="dxa" w:w="26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sz w:val="19"/>
                <w:szCs w:val="19"/>
              </w:rPr>
              <w:t xml:space="preserve">Phase 1: MVP (this proposal)</w:t>
            </w:r>
          </w:p>
        </w:tc>
        <w:tc>
          <w:tcPr>
            <w:tcW w:type="dxa" w:w="12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sz w:val="19"/>
                <w:szCs w:val="19"/>
              </w:rPr>
              <w:t xml:space="preserve">4</w:t>
            </w:r>
          </w:p>
        </w:tc>
        <w:tc>
          <w:tcPr>
            <w:tcW w:type="dxa" w:w="26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sz w:val="19"/>
                <w:szCs w:val="19"/>
              </w:rPr>
              <w:t xml:space="preserve">One zone, one greenhouse</w:t>
            </w:r>
          </w:p>
        </w:tc>
        <w:tc>
          <w:tcPr>
            <w:tcW w:type="dxa" w:w="276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sz w:val="19"/>
                <w:szCs w:val="19"/>
              </w:rPr>
              <w:t xml:space="preserve">Baseline dataset, first acoustic survey, staff alerting live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Phase 2: Full Romeo</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10 to 12</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All of Romeo greenhouse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Tropical and subtropical species coverage, TDOA localisation</w:t>
            </w:r>
          </w:p>
        </w:tc>
      </w:tr>
      <w:tr>
        <w:tc>
          <w:tcPr>
            <w:tcW w:type="dxa" w:w="26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sz w:val="19"/>
                <w:szCs w:val="19"/>
              </w:rPr>
              <w:t xml:space="preserve">Phase 3: Both greenhouses</w:t>
            </w:r>
          </w:p>
        </w:tc>
        <w:tc>
          <w:tcPr>
            <w:tcW w:type="dxa" w:w="12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sz w:val="19"/>
                <w:szCs w:val="19"/>
              </w:rPr>
              <w:t xml:space="preserve">16 to 20</w:t>
            </w:r>
          </w:p>
        </w:tc>
        <w:tc>
          <w:tcPr>
            <w:tcW w:type="dxa" w:w="260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sz w:val="19"/>
                <w:szCs w:val="19"/>
              </w:rPr>
              <w:t xml:space="preserve">Romeo and Julia</w:t>
            </w:r>
          </w:p>
        </w:tc>
        <w:tc>
          <w:tcPr>
            <w:tcW w:type="dxa" w:w="2760"/>
            <w:tcBorders>
              <w:top w:val="single" w:color="CCCCCC" w:sz="1"/>
              <w:left w:val="single" w:color="CCCCCC" w:sz="1"/>
              <w:bottom w:val="single" w:color="CCCCCC" w:sz="1"/>
              <w:right w:val="single" w:color="CCCCCC" w:sz="1"/>
            </w:tcBorders>
            <w:shd w:fill="F0F4F8" w:val="clear"/>
            <w:tcMar>
              <w:top w:type="dxa" w:w="70"/>
              <w:left w:type="dxa" w:w="120"/>
              <w:bottom w:type="dxa" w:w="70"/>
              <w:right w:type="dxa" w:w="120"/>
            </w:tcMar>
          </w:tcPr>
          <w:p>
            <w:r>
              <w:rPr>
                <w:rFonts w:ascii="Arial" w:cs="Arial" w:eastAsia="Arial" w:hAnsi="Arial"/>
                <w:sz w:val="19"/>
                <w:szCs w:val="19"/>
              </w:rPr>
              <w:t xml:space="preserve">Full research platform, solar-powered nodes, visitor dashboard</w:t>
            </w:r>
          </w:p>
        </w:tc>
      </w:tr>
    </w:tbl>
    <w:p>
      <w:pPr>
        <w:spacing w:after="60" w:before="60"/>
      </w:pPr>
      <w:r>
        <w:rPr>
          <w:rFonts w:ascii="Arial" w:cs="Arial" w:eastAsia="Arial" w:hAnsi="Arial"/>
          <w:sz w:val="21"/>
          <w:szCs w:val="21"/>
        </w:rPr>
        <w:t xml:space="preserve"/>
      </w:r>
    </w:p>
    <w:p>
      <w:pPr>
        <w:pBdr>
          <w:bottom w:val="single" w:color="CCCCCC" w:sz="4" w:space="1"/>
        </w:pBdr>
        <w:spacing w:after="100" w:before="100"/>
      </w:pPr>
      <w:r>
        <w:rPr>
          <w:rFonts w:ascii="Arial" w:cs="Arial" w:eastAsia="Arial" w:hAnsi="Arial"/>
          <w:sz w:val="21"/>
          <w:szCs w:val="21"/>
        </w:rPr>
        <w:t xml:space="preserve"/>
      </w:r>
    </w:p>
    <w:p>
      <w:pPr>
        <w:pStyle w:val="Heading1"/>
        <w:spacing w:after="120" w:before="280"/>
      </w:pPr>
      <w:r>
        <w:rPr>
          <w:rFonts w:ascii="Arial" w:cs="Arial" w:eastAsia="Arial" w:hAnsi="Arial"/>
          <w:b/>
          <w:bCs/>
          <w:color w:val="1B3F6B"/>
          <w:sz w:val="30"/>
          <w:szCs w:val="30"/>
        </w:rPr>
        <w:t xml:space="preserve">References</w:t>
      </w:r>
    </w:p>
    <w:p>
      <w:pPr>
        <w:spacing w:after="50" w:before="50"/>
        <w:ind w:left="600" w:hanging="600"/>
      </w:pPr>
      <w:r>
        <w:rPr>
          <w:rFonts w:ascii="Arial" w:cs="Arial" w:eastAsia="Arial" w:hAnsi="Arial"/>
          <w:color w:val="555555"/>
          <w:sz w:val="18"/>
          <w:szCs w:val="18"/>
        </w:rPr>
        <w:t xml:space="preserve">[1]  Khait, I., Lewin-Epstein, O., Sharon, R., et al. (2023). Sounds emitted by plants under stress are airborne and informative. Cell, 186(7), 1282-1294. https://doi.org/10.1016/j.cell.2023.03.009</w:t>
      </w:r>
    </w:p>
    <w:p>
      <w:pPr>
        <w:spacing w:after="50" w:before="50"/>
        <w:ind w:left="600" w:hanging="600"/>
      </w:pPr>
      <w:r>
        <w:rPr>
          <w:rFonts w:ascii="Arial" w:cs="Arial" w:eastAsia="Arial" w:hAnsi="Arial"/>
          <w:color w:val="555555"/>
          <w:sz w:val="18"/>
          <w:szCs w:val="18"/>
        </w:rPr>
        <w:t xml:space="preserve">[2]  Frontiers in Plant Science. (2025). A review of ultrasound monitoring applications in agriculture. https://doi.org/10.3389/fpls.2025.1620868</w:t>
      </w:r>
    </w:p>
    <w:p>
      <w:pPr>
        <w:spacing w:after="50" w:before="50"/>
        <w:ind w:left="600" w:hanging="600"/>
      </w:pPr>
      <w:r>
        <w:rPr>
          <w:rFonts w:ascii="Arial" w:cs="Arial" w:eastAsia="Arial" w:hAnsi="Arial"/>
          <w:color w:val="555555"/>
          <w:sz w:val="18"/>
          <w:szCs w:val="18"/>
        </w:rPr>
        <w:t xml:space="preserve">[3]  Bonisoli, L., Pelicella, I., &amp; Arru, L. (2025). Outdoor detection of plant ultrasonic emissions using a contactless microphone. Physiologia, 5(1), 9. https://doi.org/10.3390/physiologia5010009</w:t>
      </w:r>
    </w:p>
    <w:p>
      <w:pPr>
        <w:spacing w:after="50" w:before="50"/>
        <w:ind w:left="600" w:hanging="600"/>
      </w:pPr>
      <w:r>
        <w:rPr>
          <w:rFonts w:ascii="Arial" w:cs="Arial" w:eastAsia="Arial" w:hAnsi="Arial"/>
          <w:color w:val="555555"/>
          <w:sz w:val="18"/>
          <w:szCs w:val="18"/>
        </w:rPr>
        <w:t xml:space="preserve">[4]  Chen, X., et al. (2019). Acoustic indoor localization system integrating TDMA+FDMA transmission scheme. Sensors, 19(10), 2353. https://doi.org/10.3390/s19102353</w:t>
      </w:r>
    </w:p>
    <w:p>
      <w:pPr>
        <w:spacing w:after="50" w:before="50"/>
        <w:ind w:left="600" w:hanging="600"/>
      </w:pPr>
      <w:r>
        <w:rPr>
          <w:rFonts w:ascii="Arial" w:cs="Arial" w:eastAsia="Arial" w:hAnsi="Arial"/>
          <w:color w:val="555555"/>
          <w:sz w:val="18"/>
          <w:szCs w:val="18"/>
        </w:rPr>
        <w:t xml:space="preserve">[5]  Placidi, P., et al. (2020). Characterization of low-cost capacitive soil moisture sensors for IoT networks. Sensors, 20(12), 3585. https://doi.org/10.3390/s20123585</w:t>
      </w:r>
    </w:p>
    <w:p>
      <w:pPr>
        <w:spacing w:after="50" w:before="50"/>
        <w:ind w:left="600" w:hanging="600"/>
      </w:pPr>
      <w:r>
        <w:rPr>
          <w:rFonts w:ascii="Arial" w:cs="Arial" w:eastAsia="Arial" w:hAnsi="Arial"/>
          <w:color w:val="555555"/>
          <w:sz w:val="18"/>
          <w:szCs w:val="18"/>
        </w:rPr>
        <w:t xml:space="preserve">[6]  Okasha, A. M., et al. (2021). Designing low-cost capacitive soil moisture sensor for greenhouse irrigation management. Sensors, 21(16), 5387. https://doi.org/10.3390/s21165387</w:t>
      </w:r>
    </w:p>
    <w:p>
      <w:pPr>
        <w:spacing w:after="50" w:before="50"/>
        <w:ind w:left="600" w:hanging="600"/>
      </w:pPr>
      <w:r>
        <w:rPr>
          <w:rFonts w:ascii="Arial" w:cs="Arial" w:eastAsia="Arial" w:hAnsi="Arial"/>
          <w:color w:val="555555"/>
          <w:sz w:val="18"/>
          <w:szCs w:val="18"/>
        </w:rPr>
        <w:t xml:space="preserve">[7]  Labib, A., Jaber, M., &amp; Farooq, M. (2021). ESP-NOW mesh topology for wireless sensor networks. PeerJ Computer Science, 7, e780. https://doi.org/10.7717/peerj-cs.780</w:t>
      </w:r>
    </w:p>
    <w:p>
      <w:pPr>
        <w:spacing w:after="60" w:before="60"/>
      </w:pPr>
      <w:r>
        <w:rPr>
          <w:rFonts w:ascii="Arial" w:cs="Arial" w:eastAsia="Arial" w:hAnsi="Arial"/>
          <w:sz w:val="21"/>
          <w:szCs w:val="21"/>
        </w:rPr>
        <w:t xml:space="preserve"/>
      </w:r>
    </w:p>
    <w:p>
      <w:pPr>
        <w:spacing w:after="40" w:before="40"/>
        <w:ind w:left="600" w:hanging="600"/>
      </w:pPr>
      <w:r>
        <w:rPr>
          <w:rFonts w:ascii="Arial" w:cs="Arial" w:eastAsia="Arial" w:hAnsi="Arial"/>
          <w:color w:val="555555"/>
          <w:sz w:val="18"/>
          <w:szCs w:val="18"/>
        </w:rPr>
        <w:t xml:space="preserve">[A]  University of Oulu Botanical Garden. https://www.oulu.fi/en/university/botanical-garden</w:t>
      </w:r>
    </w:p>
    <w:sectPr>
      <w:footerReference w:type="default" r:id="rId7"/>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00"/>
    </w:pPr>
    <w:r>
      <w:rPr>
        <w:rFonts w:ascii="Arial" w:cs="Arial" w:eastAsia="Arial" w:hAnsi="Arial"/>
        <w:color w:val="888888"/>
        <w:sz w:val="16"/>
        <w:szCs w:val="16"/>
      </w:rPr>
      <w:t xml:space="preserve">PhytoSense | University of Oulu Botanical Garden</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B3F6B"/>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D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2026-05-09T09:46:12.294Z</dcterms:created>
  <dcterms:modified xsi:type="dcterms:W3CDTF">2026-05-09T09:46:12.308Z</dcterms:modified>
</cp:coreProperties>
</file>

<file path=docProps/custom.xml><?xml version="1.0" encoding="utf-8"?>
<Properties xmlns="http://schemas.openxmlformats.org/officeDocument/2006/custom-properties" xmlns:vt="http://schemas.openxmlformats.org/officeDocument/2006/docPropsVTypes"/>
</file>