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B365D"/>
            <w:tcMar>
              <w:top w:w="200" w:type="dxa"/>
              <w:bottom w:w="200" w:type="dxa"/>
              <w:left w:w="250" w:type="dxa"/>
              <w:right w:w="2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GROWTHOS: MASTER TECHNICAL SPECIFICATION &amp; PROJECT REPORT</w:t>
              <w:br/>
              <w:t>Institutional-Grade Intelligence for D2C E-Commerce Founders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C8DCF5"/>
                <w:sz w:val="19"/>
              </w:rPr>
              <w:t>Course: Full Stack Development - I (PS-FSD) | Sem V | A.Y. 2026-27</w:t>
              <w:br/>
              <w:t>7 AI Agents · Next.js 16 · PostgreSQL · Prisma ORM · Groq LPU Inference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1B365D"/>
          <w:sz w:val="30"/>
        </w:rPr>
        <w:t>1. Executive Summary &amp; Problem Statement</w:t>
      </w:r>
    </w:p>
    <w:p>
      <w:pPr>
        <w:spacing w:line="276" w:lineRule="auto"/>
      </w:pPr>
      <w:r>
        <w:t>GrowthOS is a full-stack AI Growth Operating System engineered to solve the operational and margin crisis faced by direct-to-consumer (D2C) e-commerce brands. Founders currently wrestle with fragmented dashboards across Shopify, Meta Ads, Google Analytics, Shiprocket, and payment gateways. While top-line revenue may increase, hidden margin leaks such as high Customer Acquisition Costs (CAC), Cash on Delivery (COD) friction, and 18-30% Return-to-Origin (RTO) rates erode net profitability.</w:t>
        <w:br/>
        <w:br/>
        <w:t>GrowthOS unifies these metrics into a single pane of glass and triggers a parallel 7-agent AI diagnostic engine powered by Groq LPUs in under 4.0 seconds, yielding prioritized action items with step-by-step SOPs, what-if strategy simulations, and board-ready PDF reports.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1B365D"/>
          <w:sz w:val="30"/>
        </w:rPr>
        <w:t>2. High-Level Architecture &amp; Tech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 &amp; Engineering Rationale</w:t>
            </w:r>
          </w:p>
        </w:tc>
      </w:tr>
      <w:tr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Frontend &amp; SSR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Next.js 16.2.12 (Turbopack) + React 19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App Router architecture with Server Components and sub-second page transitions.</w:t>
            </w:r>
          </w:p>
        </w:tc>
      </w:tr>
      <w:tr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Styling System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Tailwind CSS 3.4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Curated dark mode palette (#0D0D0E, zinc-900) and responsive grid layout.</w:t>
            </w:r>
          </w:p>
        </w:tc>
      </w:tr>
      <w:tr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Database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PostgreSQL (Supabase)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Strict ACID compliance, relational integrity, row-level locking, and native JSONB indexing.</w:t>
            </w:r>
          </w:p>
        </w:tc>
      </w:tr>
      <w:tr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ORM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Prisma 6.5.0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Type-safe database client with connection pooling (port 6543) and schema migration management.</w:t>
            </w:r>
          </w:p>
        </w:tc>
      </w:tr>
      <w:tr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Authentication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Auth.js v5 (NextAuth beta 25)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JWT session handling with Bcrypt password hashing and Google OAuth integration.</w:t>
            </w:r>
          </w:p>
        </w:tc>
      </w:tr>
      <w:tr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AI Inference Engine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Groq SDK (Llama 3.3-70B Versatile)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Ultra-low latency LPU hardware executing 7 parallel agents in &lt; 4.0 seconds.</w:t>
            </w:r>
          </w:p>
        </w:tc>
      </w:tr>
      <w:tr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Data Visualizations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Recharts 3.10.1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Dynamic SVG metric charts, historical trend lines, and health score gauges.</w:t>
            </w:r>
          </w:p>
        </w:tc>
      </w:tr>
      <w:tr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PDF Generation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jsPDF 2.5.2 + html2canvas 1.4.1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Pixel-perfect client-side compilation of executive reports into downloadable PDF artifacts.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1B365D"/>
          <w:sz w:val="30"/>
        </w:rPr>
        <w:t>3. The 7-Agent AI Diagnostic Engine</w:t>
      </w:r>
    </w:p>
    <w:p>
      <w:pPr>
        <w:spacing w:line="276" w:lineRule="auto"/>
      </w:pPr>
      <w:r>
        <w:t>GrowthOS orchestrates 7 specialized AI agents concurrently via Promise.all() in src/lib/ai/orchestrator.ts. Each agent evaluates a specific operational domain, identifies bottlenecks, computes an impact estimate, and provides an actionable SOP: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Agent Name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Focus &amp; Metrics Analyzed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Concrete Output Example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Finance Agent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Gross Margin, Operating Expenses, COGS, Net Margin, Pricing Tier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Renegotiate fabric supplier terms for top 3 SKUs; recover 5% COGS margin (+₹92,000/mo).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Marketing Agent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Blended CAC, Meta vs. Google ROAS, Ad Spend Ratio, Channel Mix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Shift 40% of ad spend to Creator UGC video ads; recover ROAS from 2.2x to 3.1x.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Operations Agent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COD Rate %, RTO %, Fulfillment SLA, Courier NDR %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Deploy automated WhatsApp NDR verification; block high-RTO (&gt;35%) pincodes from COD.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Technology Agent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Cart Abandonment Rate, Mobile Drop-off %, Checkout Latency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Install Razorpay Magic 1-Click Checkout; reduce mobile checkout drop-offs (+₹1.84L/mo).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Unit Economics Agent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AOV, Contribution Margin 1 &amp; 2, LTV:CAC Ratio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Bundle low-margin products into 2-packs at ₹2,299 threshold; lift CM2 to 21.5%.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Inventory Agent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Turnover Velocity, Deadstock Capital, Stockout Rate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Launch flash clearance for &gt;60-day aged stock; free up ₹2.8L trapped working capital.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Retention &amp; LTV Agent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Repeat Customer %, 30/60/90-Day Repurchase, WhatsApp Open Rate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Launch automated WhatsApp 3-step post-delivery flow; lift 60-day repeat rate from 18% to 26%.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1B365D"/>
          <w:sz w:val="30"/>
        </w:rPr>
        <w:t>4. Database Architecture &amp; Schema Design</w:t>
      </w:r>
    </w:p>
    <w:p>
      <w:pPr>
        <w:spacing w:line="276" w:lineRule="auto"/>
      </w:pPr>
      <w:r>
        <w:t>The database is designed with 10 tables and 6 enums adhering to 3rd Normal Form (3NF) for relational entities, while leveraging PostgreSQL JSONB columns for dynamic multi-agent diagnostic outputs and time-series snapshots.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Entity Name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 Key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Foreign Keys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Core Responsibilities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User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id (CUID)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Identity, authentication, bcrypt password hash, account timestamps.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Business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id (CUID)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userId -&gt; User(id)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Master store profile, revenue, CAC, AOV, ROAS, COD %, RTO %, health score.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BusinessSnapshot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id (CUID)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businessId -&gt; Business(id)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Immutable time-series records for longitudinal trend tracking.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Analysis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id (CUID)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businessId, createdById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JSONB storage for 7-agent diagnostic results, health score, and executive summary.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Simulation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id (CUID)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businessId, createdById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Hypothetical strategy runs, short/long-term forecasts, risks, and opportunities.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Report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id (CUID)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businessId, analysisId, simulationId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Executive briefing documents, Chief Risk, Top Opportunity, and action plans.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Account / Session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id (CUID)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userId -&gt; User(id)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NextAuth session management and OAuth tokens with cascade deletion.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1B365D"/>
          <w:sz w:val="30"/>
        </w:rPr>
        <w:t>5. Complete Route &amp; Application Feature Catalog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2969B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Features &amp; Functionality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/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Static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Marketing landing page with value prop, 7-agent cards, and interactive CTA.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/demo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Static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Instant zero-config demo with pre-loaded ethnic wear D2C case study.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/login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Static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Email/Password and Google OAuth authentication portal.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/register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Static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New user registration with bcrypt password hashing.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/onboarding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Dynamic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Protected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3-step wizard for configuring store metrics, logistics, and financials.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/dashboard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Dynamic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Protected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Command center with composite Health Score radial gauge and metric alerts.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/dashboard/diagnose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Dynamic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Protected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Interactive 7-agent diagnosis studio with SOP checklists and tool paths.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/dashboard/simulate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Dynamic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Protected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What-if strategy simulation testing natural language hypotheses.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/dashboard/report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Dynamic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Protected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CEO Executive Briefing with 1-click high-resolution PDF download.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sz w:val="16"/>
              </w:rPr>
              <w:t>/dashboard/history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Dynamic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Protected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Chronological snapshot timeline and historical charts powered by Recharts.</w:t>
            </w:r>
          </w:p>
        </w:tc>
      </w:tr>
      <w:tr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b/>
                <w:sz w:val="16"/>
              </w:rPr>
              <w:t>/dashboard/settings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Dynamic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Protected</w:t>
            </w:r>
          </w:p>
        </w:tc>
        <w:tc>
          <w:tcPr>
            <w:tcW w:type="dxa" w:w="2484"/>
            <w:tcMar>
              <w:top w:w="45" w:type="dxa"/>
              <w:bottom w:w="45" w:type="dxa"/>
              <w:left w:w="70" w:type="dxa"/>
              <w:right w:w="70" w:type="dxa"/>
            </w:tcMar>
            <w:shd w:val="clear" w:color="auto" w:fill="F8F9FA"/>
          </w:tcPr>
          <w:p>
            <w:r>
              <w:rPr>
                <w:rFonts w:ascii="Arial" w:hAnsi="Arial"/>
                <w:sz w:val="16"/>
              </w:rPr>
              <w:t>Store parameters management and metric re-tuning.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1B365D"/>
          <w:sz w:val="30"/>
        </w:rPr>
        <w:t>6. Presentation &amp; Viva Defense Quick Guide</w:t>
      </w:r>
    </w:p>
    <w:p>
      <w:pPr>
        <w:spacing w:line="276" w:lineRule="auto"/>
      </w:pPr>
      <w:r>
        <w:t>Key questions and answers for tomorrow's project presentation:</w:t>
        <w:br/>
        <w:br/>
        <w:t>Q: Why Next.js + PostgreSQL instead of traditional Spring Boot?</w:t>
        <w:br/>
        <w:t>A: Next.js App Router provides modern full-stack capabilities with serverless API Route Handlers acting as REST controllers, and Prisma ORM managing PostgreSQL. This allows direct client-side PDF generation, sub-second Turbopack compilation, and easy deployment.</w:t>
        <w:br/>
        <w:br/>
        <w:t>Q: How do the 7 agents run concurrently?</w:t>
        <w:br/>
        <w:t>A: In src/lib/ai/orchestrator.ts, all 7 agent prompts are executed in parallel via Promise.all() against Groq's high-speed LPU inference engine, completing in under 4 seconds rather than 28 seconds sequentially.</w:t>
        <w:br/>
        <w:br/>
        <w:t>Q: Why use JSONB in PostgreSQL?</w:t>
        <w:br/>
        <w:t>A: JSONB gives us the best of both worlds: strict relational integrity (foreign keys, cascade deletes) for store entities, combined with flexible, schema-free document storage for the deeply nested 7-agent diagnostic outputs without needing 15+ sub-tables.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