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 affiliations, corresponding author, funding, competing interests, and CRediT roles:</w:t>
      </w:r>
      <w:r>
        <w:t xml:space="preserve"> </w:t>
      </w:r>
      <w:r>
        <w:t xml:space="preserve">[to be completed by submitting authors]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subsequent online P300-speller accuracy,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the median time per selection, the archive's only trace of the stopping rule, accounted for two thirds of that between-cohort variance (Holm-corrected p = 0.012).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subsequent accuracy,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S7)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every specification and none was dropped.</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The study involved no new data collection, participant contact, or intervention. The original source studies' ethics and consent statements are reported in the archive documentation. The submitting institution must confirm its own determination for this secondary analysis of a de-identified public archive.</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35"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28"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averaged 0.101 with a between-cohort standard deviation of 0.047, giving a 95% interval for the mean of 0.077 to 0.124 and a 95% interval for a cohort not represented in the archive of -0.002 to 0.203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bookmarkEnd w:id="28"/>
    <w:bookmarkStart w:id="29"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29"/>
    <w:bookmarkStart w:id="30"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30"/>
    <w:bookmarkStart w:id="31"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31"/>
    <w:bookmarkStart w:id="32" w:name="protocol-descriptors-as-moderators"/>
    <w:p>
      <w:pPr>
        <w:pStyle w:val="Heading3"/>
      </w:pPr>
      <w:r>
        <w:t xml:space="preserve">Protocol Descriptors as Moderators</w:t>
      </w:r>
    </w:p>
    <w:p>
      <w:pPr>
        <w:pStyle w:val="FirstParagraph"/>
      </w:pPr>
      <w:r>
        <w:rPr>
          <w:b/>
          <w:bCs/>
        </w:rPr>
        <w:t xml:space="preserve">The time a cohort took over each selection accounted for two thirds of the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reducing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accounted for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32"/>
    <w:bookmarkStart w:id="33"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33"/>
    <w:bookmarkStart w:id="34"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0.100, between-cohort standard deviation 0.047). Restricting to the 12 cohorts whose session accuracy varied by at least 0.10 raised the mean absolute error to 0.124 and the uncorrected calibration-slope standard deviation to 0.601, indicating that near-ceiling cohorts contributed low error for reasons unrelated to the predictor. Excluding records in which more than 20% of calibration epochs were rejected lowered the mean absolute error to 0.087 and the uncorrected calibration-slope standard deviation to 0.465, the only analysis in which transportability improved. Analysing the 14 cohorts without a documented ALS population gave a mean absolute error of 0.101 with a new-cohort interval of -0.015 to 0.216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0.1007 against 0.1006, its between-cohort standard deviation 0.0473 against 0.0472,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34"/>
    <w:bookmarkEnd w:id="35"/>
    <w:bookmarkStart w:id="38"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-0.002 to 0.203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but it is a competing explanation for part of the spread and it is not addressed by collecting more cohorts.</w:t>
      </w:r>
    </w:p>
    <w:p>
      <w:pPr>
        <w:pStyle w:val="BodyText"/>
      </w:pPr>
      <w:r>
        <w:t xml:space="preserve">Part of that variation is now attributable to a protocol difference rather than to the cohorts themselves. The time each cohort took over a selection, which is the archive's only trace of the stopping rule, accounted for two thirds of the between-cohort variance in the calibration slope, leaving a residual between-cohort standard deviation of 0.25 against 0.43 unmoderated. That does not restore transportability, for two reasons. A mapping whose slope depends on the stopping rule is still not one that can be carried to a site whose stopping rule is unknown, and knowing it is not the same as being able to correct for it, since the correction estimated here rests on 18 cohorts and on a descriptor that is itself partly determined by the recording wherever stopping was data-dependent. What the result does change is the interpretation of the residual spread: it is not an irreducible property of the population, and a site that reports its stopping rule alongside a calibration score would remove a substantial share of the uncertainty in a transported estimate.</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0.101 to 0.087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36"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which is the signature of the stopping rule and accounted for two thirds of the between-cohort variance in calibration slope, and the range of target indices, which bounds the speller alphabet from below and accounted for no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w:t>
      </w:r>
    </w:p>
    <w:bookmarkEnd w:id="36"/>
    <w:bookmarkStart w:id="37" w:name="conclusion"/>
    <w:p>
      <w:pPr>
        <w:pStyle w:val="Heading3"/>
      </w:pPr>
      <w:r>
        <w:t xml:space="preserve">Conclusion</w:t>
      </w:r>
    </w:p>
    <w:p>
      <w:pPr>
        <w:pStyle w:val="FirstParagraph"/>
      </w:pPr>
      <w:r>
        <w:t xml:space="preserve">In 18 independent P300-speller cohorts, calibration-derived decoder discriminability was related to subsequent online spelling accuracy,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7"/>
    <w:bookmarkEnd w:id="38"/>
    <w:bookmarkStart w:id="51"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2066"/>
        <w:gridCol w:w="964"/>
        <w:gridCol w:w="1377"/>
        <w:gridCol w:w="1308"/>
        <w:gridCol w:w="2203"/>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560"/>
        <w:gridCol w:w="981"/>
        <w:gridCol w:w="630"/>
        <w:gridCol w:w="841"/>
        <w:gridCol w:w="1191"/>
        <w:gridCol w:w="490"/>
        <w:gridCol w:w="490"/>
        <w:gridCol w:w="1121"/>
        <w:gridCol w:w="1612"/>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rPr>
          <w:b/>
          <w:bCs/>
        </w:rPr>
        <w:t xml:space="preserve">Figure 2. Observed against estimated session accuracy, one panel per withheld cohort.</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5334000" cy="3408326"/>
            <wp:effectExtent b="0" l="0" r="0" t="0"/>
            <wp:docPr descr="" title="" id="40" name="Picture"/>
            <a:graphic>
              <a:graphicData uri="http://schemas.openxmlformats.org/drawingml/2006/picture">
                <pic:pic>
                  <pic:nvPicPr>
                    <pic:cNvPr descr="../output/expanded/figures/figure_calibration_forest.png" id="41" name="Picture"/>
                    <pic:cNvPicPr>
                      <a:picLocks noChangeArrowheads="1" noChangeAspect="1"/>
                    </pic:cNvPicPr>
                  </pic:nvPicPr>
                  <pic:blipFill>
                    <a:blip r:embed="rId39"/>
                    <a:stretch>
                      <a:fillRect/>
                    </a:stretch>
                  </pic:blipFill>
                  <pic:spPr bwMode="auto">
                    <a:xfrm>
                      <a:off x="0" y="0"/>
                      <a:ext cx="5334000" cy="3408326"/>
                    </a:xfrm>
                    <a:prstGeom prst="rect">
                      <a:avLst/>
                    </a:prstGeom>
                    <a:noFill/>
                    <a:ln w="9525">
                      <a:noFill/>
                      <a:headEnd/>
                      <a:tailEnd/>
                    </a:ln>
                  </pic:spPr>
                </pic:pic>
              </a:graphicData>
            </a:graphic>
          </wp:inline>
        </w:drawing>
      </w:r>
      <w:r>
        <w:t xml:space="preserve">{width=100%}</w:t>
      </w:r>
    </w:p>
    <w:p>
      <w:pPr>
        <w:pStyle w:val="BodyText"/>
      </w:pPr>
      <w:r>
        <w:drawing>
          <wp:inline>
            <wp:extent cx="5334000" cy="3250867"/>
            <wp:effectExtent b="0" l="0" r="0" t="0"/>
            <wp:docPr descr="" title="" id="43" name="Picture"/>
            <a:graphic>
              <a:graphicData uri="http://schemas.openxmlformats.org/drawingml/2006/picture">
                <pic:pic>
                  <pic:nvPicPr>
                    <pic:cNvPr descr="../output/expanded/figures/figure_calibration_curves.png" id="44" name="Picture"/>
                    <pic:cNvPicPr>
                      <a:picLocks noChangeArrowheads="1" noChangeAspect="1"/>
                    </pic:cNvPicPr>
                  </pic:nvPicPr>
                  <pic:blipFill>
                    <a:blip r:embed="rId42"/>
                    <a:stretch>
                      <a:fillRect/>
                    </a:stretch>
                  </pic:blipFill>
                  <pic:spPr bwMode="auto">
                    <a:xfrm>
                      <a:off x="0" y="0"/>
                      <a:ext cx="5334000" cy="3250867"/>
                    </a:xfrm>
                    <a:prstGeom prst="rect">
                      <a:avLst/>
                    </a:prstGeom>
                    <a:noFill/>
                    <a:ln w="9525">
                      <a:noFill/>
                      <a:headEnd/>
                      <a:tailEnd/>
                    </a:ln>
                  </pic:spPr>
                </pic:pic>
              </a:graphicData>
            </a:graphic>
          </wp:inline>
        </w:drawing>
      </w:r>
      <w:r>
        <w:t xml:space="preserve">{width=100%}</w:t>
      </w:r>
    </w:p>
    <w:p>
      <w:pPr>
        <w:pStyle w:val="BodyText"/>
      </w:pPr>
      <w:r>
        <w:drawing>
          <wp:inline>
            <wp:extent cx="5334000" cy="4956449"/>
            <wp:effectExtent b="0" l="0" r="0" t="0"/>
            <wp:docPr descr="" title="" id="46" name="Picture"/>
            <a:graphic>
              <a:graphicData uri="http://schemas.openxmlformats.org/drawingml/2006/picture">
                <pic:pic>
                  <pic:nvPicPr>
                    <pic:cNvPr descr="../output/expanded/figures/figure_transportability.png" id="47" name="Picture"/>
                    <pic:cNvPicPr>
                      <a:picLocks noChangeArrowheads="1" noChangeAspect="1"/>
                    </pic:cNvPicPr>
                  </pic:nvPicPr>
                  <pic:blipFill>
                    <a:blip r:embed="rId45"/>
                    <a:stretch>
                      <a:fillRect/>
                    </a:stretch>
                  </pic:blipFill>
                  <pic:spPr bwMode="auto">
                    <a:xfrm>
                      <a:off x="0" y="0"/>
                      <a:ext cx="5334000" cy="4956449"/>
                    </a:xfrm>
                    <a:prstGeom prst="rect">
                      <a:avLst/>
                    </a:prstGeom>
                    <a:noFill/>
                    <a:ln w="9525">
                      <a:noFill/>
                      <a:headEnd/>
                      <a:tailEnd/>
                    </a:ln>
                  </pic:spPr>
                </pic:pic>
              </a:graphicData>
            </a:graphic>
          </wp:inline>
        </w:drawing>
      </w:r>
      <w:r>
        <w:t xml:space="preserve">{width=88%}</w:t>
      </w:r>
    </w:p>
    <w:p>
      <w:pPr>
        <w:pStyle w:val="BodyText"/>
      </w:pPr>
      <w:r>
        <w:drawing>
          <wp:inline>
            <wp:extent cx="5334000" cy="4277443"/>
            <wp:effectExtent b="0" l="0" r="0" t="0"/>
            <wp:docPr descr="" title="" id="49" name="Picture"/>
            <a:graphic>
              <a:graphicData uri="http://schemas.openxmlformats.org/drawingml/2006/picture">
                <pic:pic>
                  <pic:nvPicPr>
                    <pic:cNvPr descr="../output/expanded/figures/figure_skill_by_cohort.png" id="50" name="Picture"/>
                    <pic:cNvPicPr>
                      <a:picLocks noChangeArrowheads="1" noChangeAspect="1"/>
                    </pic:cNvPicPr>
                  </pic:nvPicPr>
                  <pic:blipFill>
                    <a:blip r:embed="rId48"/>
                    <a:stretch>
                      <a:fillRect/>
                    </a:stretch>
                  </pic:blipFill>
                  <pic:spPr bwMode="auto">
                    <a:xfrm>
                      <a:off x="0" y="0"/>
                      <a:ext cx="5334000" cy="4277443"/>
                    </a:xfrm>
                    <a:prstGeom prst="rect">
                      <a:avLst/>
                    </a:prstGeom>
                    <a:noFill/>
                    <a:ln w="9525">
                      <a:noFill/>
                      <a:headEnd/>
                      <a:tailEnd/>
                    </a:ln>
                  </pic:spPr>
                </pic:pic>
              </a:graphicData>
            </a:graphic>
          </wp:inline>
        </w:drawing>
      </w:r>
      <w:r>
        <w:t xml:space="preserve">{width=88%}</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[REPOSITORY URL TO BE INSERTED BY THE SUBMITTING AUTHORS]. The archive is not redistributed.</w:t>
      </w:r>
    </w:p>
    <w:bookmarkEnd w:id="52"/>
    <w:bookmarkStart w:id="53" w:name="references"/>
    <w:p>
      <w:pPr>
        <w:pStyle w:val="Heading2"/>
      </w:pPr>
      <w:r>
        <w:t xml:space="preserve">References</w:t>
      </w:r>
    </w:p>
    <w:p>
      <w:pPr>
        <w:pStyle w:val="Compact"/>
        <w:numPr>
          <w:ilvl w:val="0"/>
          <w:numId w:val="1001"/>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1"/>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1"/>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1"/>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1"/>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1"/>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1"/>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1"/>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1"/>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1"/>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1"/>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1"/>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1"/>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1"/>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1"/>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1"/>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1"/>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1"/>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1"/>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1"/>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1"/>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1"/>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1"/>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1"/>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1"/>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1"/>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1"/>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1"/>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1"/>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1"/>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1"/>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1"/>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1"/>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1"/>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1"/>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1"/>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2026-07-27T08:18:35Z</dcterms:created>
  <dcterms:modified xsi:type="dcterms:W3CDTF">2026-07-27T08:18:35Z</dcterms:modified>
</cp:coreProperties>
</file>

<file path=docProps/custom.xml><?xml version="1.0" encoding="utf-8"?>
<Properties xmlns="http://schemas.openxmlformats.org/officeDocument/2006/custom-properties" xmlns:vt="http://schemas.openxmlformats.org/officeDocument/2006/docPropsVTypes"/>
</file>