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pct" w:w="5000"/>
        <w:tblLayout w:type="fixed"/>
        <w:tblLook w:firstRow="1" w:lastRow="0" w:firstColumn="0" w:lastColumn="0" w:noHBand="0" w:noVBand="0" w:val="0020"/>
      </w:tblPr>
      <w:tblGrid>
        <w:gridCol w:w="1377"/>
        <w:gridCol w:w="1721"/>
        <w:gridCol w:w="1147"/>
        <w:gridCol w:w="3673"/>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S7,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w:t>
      </w:r>
    </w:p>
    <w:tbl>
      <w:tblPr>
        <w:tblStyle w:val="Table"/>
        <w:tblW w:type="pct" w:w="5000"/>
        <w:tblLayout w:type="fixed"/>
        <w:tblLook w:firstRow="1" w:lastRow="0" w:firstColumn="0" w:lastColumn="0" w:noHBand="0" w:noVBand="0" w:val="0020"/>
      </w:tblPr>
      <w:tblGrid>
        <w:gridCol w:w="1515"/>
        <w:gridCol w:w="1308"/>
        <w:gridCol w:w="1170"/>
        <w:gridCol w:w="1721"/>
        <w:gridCol w:w="2203"/>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0.101</w:t>
            </w:r>
          </w:p>
        </w:tc>
        <w:tc>
          <w:tcPr/>
          <w:p>
            <w:pPr>
              <w:pStyle w:val="Compact"/>
              <w:jc w:val="right"/>
            </w:pPr>
            <w:r>
              <w:t xml:space="preserve">0.047</w:t>
            </w:r>
          </w:p>
        </w:tc>
        <w:tc>
          <w:tcPr/>
          <w:p>
            <w:pPr>
              <w:pStyle w:val="Compact"/>
            </w:pPr>
            <w:r>
              <w:t xml:space="preserve">0.077 to 0.124</w:t>
            </w:r>
          </w:p>
        </w:tc>
        <w:tc>
          <w:tcPr/>
          <w:p>
            <w:pPr>
              <w:pStyle w:val="Compact"/>
            </w:pPr>
            <w:r>
              <w:t xml:space="preserve">-0.002 to 0.203</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3334"/>
        <w:gridCol w:w="937"/>
        <w:gridCol w:w="937"/>
        <w:gridCol w:w="1458"/>
        <w:gridCol w:w="125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pct" w:w="5000"/>
        <w:tblLayout w:type="fixed"/>
        <w:tblLook w:firstRow="1" w:lastRow="0" w:firstColumn="0" w:lastColumn="0" w:noHBand="0" w:noVBand="0" w:val="0020"/>
      </w:tblPr>
      <w:tblGrid>
        <w:gridCol w:w="1508"/>
        <w:gridCol w:w="1885"/>
        <w:gridCol w:w="1697"/>
        <w:gridCol w:w="2828"/>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5028436" cy="3898793"/>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5028436" cy="3898793"/>
                    </a:xfrm>
                    <a:prstGeom prst="rect">
                      <a:avLst/>
                    </a:prstGeom>
                    <a:noFill/>
                    <a:ln w="9525">
                      <a:noFill/>
                      <a:headEnd/>
                      <a:tailEnd/>
                    </a:ln>
                  </pic:spPr>
                </pic:pic>
              </a:graphicData>
            </a:graphic>
          </wp:inline>
        </w:drawing>
      </w:r>
      <w:r>
        <w:t xml:space="preserve">{width=88%}</w:t>
      </w:r>
    </w:p>
    <w:bookmarkEnd w:id="16"/>
    <w:bookmarkStart w:id="17"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w:t>
      </w:r>
    </w:p>
    <w:tbl>
      <w:tblPr>
        <w:tblStyle w:val="Table"/>
        <w:tblW w:type="pct" w:w="5000"/>
        <w:tblLayout w:type="fixed"/>
        <w:tblLook w:firstRow="1" w:lastRow="0" w:firstColumn="0" w:lastColumn="0" w:noHBand="0" w:noVBand="0" w:val="0020"/>
      </w:tblPr>
      <w:tblGrid>
        <w:gridCol w:w="1964"/>
        <w:gridCol w:w="552"/>
        <w:gridCol w:w="1166"/>
        <w:gridCol w:w="1043"/>
        <w:gridCol w:w="1964"/>
        <w:gridCol w:w="1227"/>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0.124</w:t>
            </w:r>
          </w:p>
        </w:tc>
        <w:tc>
          <w:tcPr/>
          <w:p>
            <w:pPr>
              <w:pStyle w:val="Compact"/>
              <w:jc w:val="right"/>
            </w:pPr>
            <w:r>
              <w:t xml:space="preserve">0.042</w:t>
            </w:r>
          </w:p>
        </w:tc>
        <w:tc>
          <w:tcPr/>
          <w:p>
            <w:pPr>
              <w:pStyle w:val="Compact"/>
            </w:pPr>
            <w:r>
              <w:t xml:space="preserve">0.029 to 0.220</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0.087</w:t>
            </w:r>
          </w:p>
        </w:tc>
        <w:tc>
          <w:tcPr/>
          <w:p>
            <w:pPr>
              <w:pStyle w:val="Compact"/>
              <w:jc w:val="right"/>
            </w:pPr>
            <w:r>
              <w:t xml:space="preserve">0.035</w:t>
            </w:r>
          </w:p>
        </w:tc>
        <w:tc>
          <w:tcPr/>
          <w:p>
            <w:pPr>
              <w:pStyle w:val="Compact"/>
            </w:pPr>
            <w:r>
              <w:t xml:space="preserve">0.011 to 0.164</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0.100</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0.101</w:t>
            </w:r>
          </w:p>
        </w:tc>
        <w:tc>
          <w:tcPr/>
          <w:p>
            <w:pPr>
              <w:pStyle w:val="Compact"/>
              <w:jc w:val="right"/>
            </w:pPr>
            <w:r>
              <w:t xml:space="preserve">0.052</w:t>
            </w:r>
          </w:p>
        </w:tc>
        <w:tc>
          <w:tcPr/>
          <w:p>
            <w:pPr>
              <w:pStyle w:val="Compact"/>
            </w:pPr>
            <w:r>
              <w:t xml:space="preserve">-0.015 to 0.216</w:t>
            </w:r>
          </w:p>
        </w:tc>
        <w:tc>
          <w:tcPr/>
          <w:p>
            <w:pPr>
              <w:pStyle w:val="Compact"/>
              <w:jc w:val="right"/>
            </w:pPr>
            <w:r>
              <w:t xml:space="preserve">0.663</w:t>
            </w:r>
          </w:p>
        </w:tc>
      </w:tr>
      <w:tr>
        <w:tc>
          <w:tcPr/>
          <w:p>
            <w:pPr>
              <w:pStyle w:val="Compact"/>
            </w:pPr>
            <w:r>
              <w:t xml:space="preserve">ALS cohorts, originally targeted primary subgroup</w:t>
            </w:r>
          </w:p>
        </w:tc>
        <w:tc>
          <w:tcPr/>
          <w:p>
            <w:pPr>
              <w:pStyle w:val="Compact"/>
              <w:jc w:val="right"/>
            </w:pPr>
            <w:r>
              <w:t xml:space="preserve">4</w:t>
            </w:r>
          </w:p>
        </w:tc>
        <w:tc>
          <w:tcPr/>
          <w:p>
            <w:pPr>
              <w:pStyle w:val="Compact"/>
              <w:jc w:val="right"/>
            </w:pPr>
            <w:r>
              <w:t xml:space="preserve">0.093</w:t>
            </w:r>
          </w:p>
        </w:tc>
        <w:tc>
          <w:tcPr/>
          <w:p>
            <w:pPr>
              <w:pStyle w:val="Compact"/>
              <w:jc w:val="right"/>
            </w:pPr>
            <w:r>
              <w:t xml:space="preserve">0.016</w:t>
            </w:r>
          </w:p>
        </w:tc>
        <w:tc>
          <w:tcPr/>
          <w:p>
            <w:pPr>
              <w:pStyle w:val="Compact"/>
            </w:pPr>
            <w:r>
              <w:t xml:space="preserve">0.035 to 0.151</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0.1007 against 0.1006, its between-cohort standard deviation 0.0473 against 0.0472,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End w:id="17"/>
    <w:bookmarkStart w:id="18" w:name="Xa38cfe4622a974e14de660f5d1942529a888c8e"/>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476"/>
        <w:gridCol w:w="1310"/>
        <w:gridCol w:w="535"/>
        <w:gridCol w:w="1786"/>
        <w:gridCol w:w="1488"/>
        <w:gridCol w:w="1310"/>
        <w:gridCol w:w="1012"/>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8"/>
    <w:bookmarkStart w:id="19"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121"/>
        <w:gridCol w:w="735"/>
        <w:gridCol w:w="315"/>
        <w:gridCol w:w="315"/>
        <w:gridCol w:w="350"/>
        <w:gridCol w:w="385"/>
        <w:gridCol w:w="245"/>
        <w:gridCol w:w="420"/>
        <w:gridCol w:w="665"/>
        <w:gridCol w:w="735"/>
        <w:gridCol w:w="1121"/>
        <w:gridCol w:w="700"/>
        <w:gridCol w:w="806"/>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0.101</w:t>
            </w:r>
          </w:p>
        </w:tc>
        <w:tc>
          <w:tcPr/>
          <w:p>
            <w:pPr>
              <w:pStyle w:val="Compact"/>
              <w:jc w:val="right"/>
            </w:pPr>
            <w:r>
              <w:t xml:space="preserve">0.047</w:t>
            </w:r>
          </w:p>
        </w:tc>
        <w:tc>
          <w:tcPr/>
          <w:p>
            <w:pPr>
              <w:pStyle w:val="Compact"/>
            </w:pPr>
            <w:r>
              <w:t xml:space="preserve">-0.002 to 0.203</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0.102</w:t>
            </w:r>
          </w:p>
        </w:tc>
        <w:tc>
          <w:tcPr/>
          <w:p>
            <w:pPr>
              <w:pStyle w:val="Compact"/>
              <w:jc w:val="right"/>
            </w:pPr>
            <w:r>
              <w:t xml:space="preserve">0.046</w:t>
            </w:r>
          </w:p>
        </w:tc>
        <w:tc>
          <w:tcPr/>
          <w:p>
            <w:pPr>
              <w:pStyle w:val="Compact"/>
            </w:pPr>
            <w:r>
              <w:t xml:space="preserve">0.001 to 0.202</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0.107</w:t>
            </w:r>
          </w:p>
        </w:tc>
        <w:tc>
          <w:tcPr/>
          <w:p>
            <w:pPr>
              <w:pStyle w:val="Compact"/>
              <w:jc w:val="right"/>
            </w:pPr>
            <w:r>
              <w:t xml:space="preserve">0.047</w:t>
            </w:r>
          </w:p>
        </w:tc>
        <w:tc>
          <w:tcPr/>
          <w:p>
            <w:pPr>
              <w:pStyle w:val="Compact"/>
            </w:pPr>
            <w:r>
              <w:t xml:space="preserve">0.006 to 0.208</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0.135</w:t>
            </w:r>
          </w:p>
        </w:tc>
        <w:tc>
          <w:tcPr/>
          <w:p>
            <w:pPr>
              <w:pStyle w:val="Compact"/>
              <w:jc w:val="right"/>
            </w:pPr>
            <w:r>
              <w:t xml:space="preserve">0.041</w:t>
            </w:r>
          </w:p>
        </w:tc>
        <w:tc>
          <w:tcPr/>
          <w:p>
            <w:pPr>
              <w:pStyle w:val="Compact"/>
            </w:pPr>
            <w:r>
              <w:t xml:space="preserve">0.045 to 0.225</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0.149</w:t>
            </w:r>
          </w:p>
        </w:tc>
        <w:tc>
          <w:tcPr/>
          <w:p>
            <w:pPr>
              <w:pStyle w:val="Compact"/>
              <w:jc w:val="right"/>
            </w:pPr>
            <w:r>
              <w:t xml:space="preserve">0.040</w:t>
            </w:r>
          </w:p>
        </w:tc>
        <w:tc>
          <w:tcPr/>
          <w:p>
            <w:pPr>
              <w:pStyle w:val="Compact"/>
            </w:pPr>
            <w:r>
              <w:t xml:space="preserve">0.061 to 0.236</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0.150</w:t>
            </w:r>
          </w:p>
        </w:tc>
        <w:tc>
          <w:tcPr/>
          <w:p>
            <w:pPr>
              <w:pStyle w:val="Compact"/>
              <w:jc w:val="right"/>
            </w:pPr>
            <w:r>
              <w:t xml:space="preserve">0.040</w:t>
            </w:r>
          </w:p>
        </w:tc>
        <w:tc>
          <w:tcPr/>
          <w:p>
            <w:pPr>
              <w:pStyle w:val="Compact"/>
            </w:pPr>
            <w:r>
              <w:t xml:space="preserve">0.063 to 0.238</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0.090</w:t>
            </w:r>
          </w:p>
        </w:tc>
        <w:tc>
          <w:tcPr/>
          <w:p>
            <w:pPr>
              <w:pStyle w:val="Compact"/>
              <w:jc w:val="right"/>
            </w:pPr>
            <w:r>
              <w:t xml:space="preserve">0.009</w:t>
            </w:r>
          </w:p>
        </w:tc>
        <w:tc>
          <w:tcPr/>
          <w:p>
            <w:pPr>
              <w:pStyle w:val="Compact"/>
            </w:pPr>
            <w:r>
              <w:t xml:space="preserve">0.046 to 0.133</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0.090</w:t>
            </w:r>
          </w:p>
        </w:tc>
        <w:tc>
          <w:tcPr/>
          <w:p>
            <w:pPr>
              <w:pStyle w:val="Compact"/>
              <w:jc w:val="right"/>
            </w:pPr>
            <w:r>
              <w:t xml:space="preserve">0.010</w:t>
            </w:r>
          </w:p>
        </w:tc>
        <w:tc>
          <w:tcPr/>
          <w:p>
            <w:pPr>
              <w:pStyle w:val="Compact"/>
            </w:pPr>
            <w:r>
              <w:t xml:space="preserve">0.038 to 0.142</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every summary column, the largest gap being the pooled calibration slope at 0.960 against 0.967 and the between-cohort spread of that slope at 0.562 against 0.560. The per-cohort slope range is the one column where they separate, 0.112 to 2.077 against 0.185 to 2.185.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19"/>
    <w:bookmarkStart w:id="22" w:name="s9-reproducibility"/>
    <w:p>
      <w:pPr>
        <w:pStyle w:val="Heading2"/>
      </w:pPr>
      <w:r>
        <w:t xml:space="preserve">S9. Reproducibility</w:t>
      </w:r>
    </w:p>
    <w:bookmarkStart w:id="20" w:name="recomputing-any-estimate"/>
    <w:p>
      <w:pPr>
        <w:pStyle w:val="Heading3"/>
      </w:pPr>
      <w:r>
        <w:t xml:space="preserve">Recomputing any estimate</w:t>
      </w:r>
    </w:p>
    <w:p>
      <w:pPr>
        <w:pStyle w:val="FirstParagraph"/>
      </w:pPr>
      <w:r>
        <w:rPr>
          <w:b/>
          <w:bCs/>
        </w:rPr>
        <w:t xml:space="preserve">Table S7.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1320"/>
        <w:gridCol w:w="1672"/>
        <w:gridCol w:w="1936"/>
        <w:gridCol w:w="704"/>
        <w:gridCol w:w="704"/>
        <w:gridCol w:w="792"/>
        <w:gridCol w:w="792"/>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0"/>
    <w:bookmarkStart w:id="21"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162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w:t>
      </w:r>
    </w:p>
    <w:bookmarkEnd w:id="21"/>
    <w:bookmarkEnd w:id="22"/>
    <w:bookmarkStart w:id="23" w:name="s10-transparency-statement"/>
    <w:p>
      <w:pPr>
        <w:pStyle w:val="Heading2"/>
      </w:pPr>
      <w:r>
        <w:t xml:space="preserve">S10. Transparency statement</w:t>
      </w:r>
    </w:p>
    <w:p>
      <w:pPr>
        <w:pStyle w:val="FirstParagraph"/>
      </w:pPr>
      <w:r>
        <w:t xml:space="preserve">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2026-07-27T08:18:42Z</dcterms:created>
  <dcterms:modified xsi:type="dcterms:W3CDTF">2026-07-27T08:18:42Z</dcterms:modified>
</cp:coreProperties>
</file>

<file path=docProps/custom.xml><?xml version="1.0" encoding="utf-8"?>
<Properties xmlns="http://schemas.openxmlformats.org/officeDocument/2006/custom-properties" xmlns:vt="http://schemas.openxmlformats.org/officeDocument/2006/docPropsVTypes"/>
</file>