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408326"/>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1339540"/>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associated with a reduction in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both available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eight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prespecified checks: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That stability does not remove the correlation itself, which a joint bootstrap of the full leave-one-study-out pipeline would be needed to fully characterise.</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that makes no asymptotic assumption, which gave a smaller tau of 0.37 for the slope and 0.77 for the intercept (supplement, S4).</w:t>
      </w:r>
    </w:p>
    <w:bookmarkEnd w:id="48"/>
    <w:bookmarkStart w:id="49" w:name="conclusion"/>
    <w:p>
      <w:pPr>
        <w:pStyle w:val="Heading3"/>
      </w:pPr>
      <w:r>
        <w:t xml:space="preserve">Conclusion</w:t>
      </w:r>
    </w:p>
    <w:p>
      <w:pPr>
        <w:pStyle w:val="FirstParagraph"/>
      </w:pPr>
      <w:r>
        <w:t xml:space="preserve">In 18 independent P300-speller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2026-07-28T07:57:39Z</dcterms:created>
  <dcterms:modified xsi:type="dcterms:W3CDTF">2026-07-28T07:57:39Z</dcterms:modified>
</cp:coreProperties>
</file>

<file path=docProps/custom.xml><?xml version="1.0" encoding="utf-8"?>
<Properties xmlns="http://schemas.openxmlformats.org/officeDocument/2006/custom-properties" xmlns:vt="http://schemas.openxmlformats.org/officeDocument/2006/docPropsVTypes"/>
</file>