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18 contributed at least one eligible online outcome, and two contributed none (Table 1). The analytic set contained 271 study-scoped participants, 410 participant-sessions, 739 participant-session-condition records, and 19,611 online character selections, of the 19,688 eligible selections in Table 1; the 77-selection difference is reconciled cohort by cohort in Table S1. The four ALS cohorts contributed 47 participants, 113 sessions, 194 records, and 3,318 selections. Observed session-condition accuracy averaged 0.851, and 228 of 739 records (30.9%) were at 100%, with three cohorts near ceiling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(widest: -0.42 to 0.86). Pooling sessions gave r = 0.716 (95% CI 0.665 to 0.760, n = 410, p &lt; 0.001); centring both variables within cohort, which removes cohort means but not differences in variance or precision, gave r = 0.677 (0.621 to 0.726, p &lt; 0.001), so the association is not produced by cohorts differing in mean difficulty and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This pools every withheld record and weights larger cohorts more heavily; the mean of the 18 cohort-level errors, reported next, is a different quantity. The character-weighted Brier score was 0.123 (95% CI 0.113 to 0.132), Brier skill 0.110 (95% CI 0.063 to 0.149), and character-weighted AUC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averaged 0.090 (geometric mean; arithmetic mean 0.101) with a between-cohort SD of 0.477 on the log scale, giving a 95% interval for the mean of 0.071 to 0.115 and a new-cohort interval of 0.032 to 0.254 (Figure 3). AUC averaged 0.713 across cohorts (new-cohort interval 0.491 to 0.935, lower bound chance); Brier skill averaged 0.174 (new-cohort interval -0.296 to 0.644). Every study-level summary here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The dashed line is the value a mapping that transported exactly would take (one for slope, zero for intercept); the band is the 95% interval for a cohort not represented in the archive, computed at tau’s point estimate, and the solid line within it is the pooled estimate. Intervals running past the axis are drawn with an arrow. Tau and I² are given beneath each panel; I² is descriptive only (Methods, Statistical Analysis).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observed accuracy, with point area increasing with the selections it rests on. The dashed line is equality; points above it are bins the mapping understated, points below are bins it overstated. The number in each panel is observed minus estimated accuracy across that cohort. The full 18-cohort version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observed cohorts; the lighter band is the 95% interval for a cohort not represented in the archive.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It departed from zero by at least half a log-odds unit in 13 of the 18 cohorts and by at least a full unit in 7, with its 95% interval excluding zero in 6. Under the primary cluster-robust specification the between-cohort SD of the calibration intercept was tau = 0.87 (95% CI 0.60 to 1.51) against a pooled intercept of -0.06 (Q = 122.6, df = 17, p &lt; 0.001); I² was 86.1 (95% CI 79.5 to 90.6), a description only (Methods, Statistical Analysis). The observed intercepts ran from -2.169 to 1.995, and the 95% interval for a cohort not represented in the archive runs from -1.97 to 1.85 on the log-odds scale (Figure 1), the difference between a mapping that badly understates and one that badly overstates accuracy. This holds regardless of where in its interval tau lies: at tau’s lower confidence limit the new-cohort interval is -1.39 to 1.26, and it is -1.37 to 1.06 with every within-cohort variance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Q = 81.3 (df = 17, p &lt; 0.001), I² 79.1 (95% CI 67.6 to 86.5), an interval that spans the same threshold, so no claim rests on it either. The observed slopes ran from 0.185 to 2.185 and the new-cohort interval runs from 0.111 to 2.005 (Figure 1); at tau’s lower confidence limit it is 0.394 to 1.704, across which no single fitted mapping is usable, and it excludes zero at tau’s point estimate but includes it at tau’s upper limit (-0.603 to 2.759), so that exclusion is a property of one value of tau rather than a finding. Cohort by cohort, 4 of the 18 slope confidence intervals include zero (Figure 1). Fitting one calibration curve to all withheld predictions pooled gives a slope of 0.967 (95% CI 0.791 to 1.127) and an intercept of 0.054 (95% CI -0.264 to 0.395), averaging opposing departures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accuracy, and, when withheld from development, mean absolute error and character-weighted AUC. ALS cohorts are listed first. Calibration intercept and slope with their confidence intervals are shown in Figure 1 rather than tabulated here; the full per-cohort table, also carrying grid size and checkerboard-paradigm indicators, is Table S2.</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slope’s standard error of 0.122 means a Wald z test against unity would have detected a departure of at least 0.34 with 80% power, and its confidence interval has a half-width of 0.24. Neither bears on transportability, since what a single fitted mapping has to survive is the slope’s spread across cohorts, and the design placed tau between 0.30 and 0.77 without resolving where in that range it lies.</w:t>
      </w:r>
    </w:p>
    <w:p>
      <w:pPr>
        <w:pStyle w:val="BodyText"/>
      </w:pPr>
      <w:r>
        <w:t xml:space="preserve">The uncorrected standard deviations of the 18 cohort estimates (supplement, Table S3) are 0.560 for the slope and 1.175 for the intercept; both exceed tau because they count sampling error as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(Figure 4). Against the harder benchmark of each cohort’s own mean, skill was negative in six of 18 (Table S8): one cohort underperformed both benchmarks, four had observed accuracy so high (0.921 to 0.997) that their own mean already tracked nearly every record, and one showed a negligible (-0.008) shortfall rather than a real one.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the calibration score estimated accuracy less well than the development-set mean. All four ALS cohorts were positive; one non-ALS cohort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this subgroup the mean absolute error was 0.091 (95% CI 0.076 to 0.108), Brier skill 0.303 (95% CI 0.184 to 0.424), AUC 0.831 (95% CI 0.768 to 0.869), calibration intercept 0.025 (95% CI -0.240 to 0.341), and slope 0.985 (95% CI 0.786 to 1.188). The uncorrected between-cohort SD of the calibration slope was 0.223 within this subgroup against 0.560 across all cohorts; four cohorts are too few to estimate tau usefully, so the uncorrected spread is used on both sides.</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slope averaged 1.479 in the four ALS cohorts (SD 0.266) and 0.992 in the other 14 (SD 0.580), a difference of 0.487 (SE 0.204; 95% CI 0.040 to 0.933; Welch t = 2.38, df = 11.7, p = 0.035). An exact permutation test gave p = 0.058; a random-effects meta-regression gave a difference of 0.559 (95% CI -0.009 to 1.127, p = 0.053), leaving a residual between-cohort SD of 0.349 against 0.432 with cohort type removed, so cohort type accounts for about a third of the between-cohort variance and most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all three tests agree in direction and magnitude and fall on either side of the conventional threshold. These are the leave-one-cohort-out slopes, not the pooled 0.985 reported for the ALS subgroup above (developed within the ALS cohorts alone); for the same reason their SD of 0.266 is not the 0.223 reported there, since 0.266 is the ALS spread under the primary design, comparable with the 0.580 of the other 14.</w:t>
      </w:r>
    </w:p>
    <w:p>
      <w:pPr>
        <w:pStyle w:val="BodyText"/>
      </w:pPr>
      <w:r>
        <w:t xml:space="preserve">Cohort type is a study-level attribute entangled with paradigm, hardware and stopping rule; only four studies carry a documented ALS population and the rest are not documented as healthy controls, so this comparison is exploratory and cannot separate population from protocol (records shown by cohort type in Figure S1, without a fitted line,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entered one at a time as moderators in a random-effects meta-regression of the cohort slope, weighted by precision, standardised per between-cohort SD, with Holm-corrected p values; all 18 cohorts were fitted for every descriptor. The strongest was the median inter-selection interval (7.3 to 50.0 seconds across cohorts, the archive’s only trace of the stopping rule): 0.406 per SD (95% CI 0.181 to 0.632; t = 3.82, df = 16, p = 0.002, Holm p = 0.015), reducing the between-cohort variance of the slope from tau squared = 0.187 to 0.063, a share of 66% (residual SD 0.25 against 0.43). The rank correlation agreed at rho = 0.72 (p &lt; 0.001, Holm p = 0.007), and on the log scale the share was 71% (p &lt; 0.001); across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from that work. A mechanism is available (accumulated evidence grows with the square root of repetitions), but is not tested here.</w:t>
      </w:r>
    </w:p>
    <w:p>
      <w:pPr>
        <w:pStyle w:val="BodyText"/>
      </w:pPr>
      <w:r>
        <w:t xml:space="preserve">No other descriptor was associated with a share of the between-cohort variance distinguishable from zero, including the archive’s documented grid size, checkerboard-variant paradigm, and both empirical matrix-size proxies (supplement, S6); the result was also robust to how the stopping-rule descriptor was defined, whether it partly reflects the recording rather than a fixed protocol setting, and how the multiple-comparison correction was applied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heavy-calibration-rejection records, and leave-two-studies-out development (16 rather than 17 cohorts, reproducing the primary result across all 153 splits; Table S7). The cohort-subset comparison restricted to cohorts without a documented ALS population, shown alongside these checks in Table S7, also gave a consistent result. Every comparator predictor named in the Methods is reported in full in Table S9; the regularised linear discriminant agreed with the primary score to within 0.007 on most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participant level, and when the calibration recording came from an earlier session. A fitted mapping from that score to expected accuracy did not transport: the calibration intercept had tau = 0.87 (95% CI 0.60 to 1.51) and an unrepresented-cohort interval of -1.97 to 1.85 log-odds; slope heterogeneity gave the same conclusion, at tau = 0.43 (0.30 to 0.77) and a range of 0.185 to 2.185. One cohort was estimated less accurately than the development-mean benchmark, six less accurately than their own mean.</w:t>
      </w:r>
    </w:p>
    <w:p>
      <w:pPr>
        <w:pStyle w:val="BodyText"/>
      </w:pPr>
      <w:r>
        <w:t xml:space="preserve">That distinction determines what a calibration score can be used for. Ranking sessions within a setting, which requires only that the association hold locally, is supported. Reporting expected accuracy in a cohort where the mapping was not developed is not supported without local recalibration, since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this analysis is the transportability counterpart to that work, reproducing the association with a positive point estimate in every cohort and adding that the numerical mapping is cohort-specific. Earlier reports relating calibration measures to P300 performance in ALS[11,12] and to brain-computer interface performance generally[10] are likewise consistent with the association reported here.</w:t>
      </w:r>
    </w:p>
    <w:p>
      <w:pPr>
        <w:pStyle w:val="BodyText"/>
      </w:pPr>
      <w:r>
        <w:t xml:space="preserve">Predictor precision differs between cohorts (standard error 0.008 to 0.031, a fourfold spread), and measurement error attenuates a fitted slope, so some between-cohort spread could reflect precision. Correcting each cohort’s slope for its reliability (0.848 to 0.992) moved tau only from 0.432 to 0.422, surviving a stress test on the assumed measurement-error variance (supplement, S9): measurement error is real but minor, and does not explain the mapping’s failure to transport.</w:t>
      </w:r>
    </w:p>
    <w:p>
      <w:pPr>
        <w:pStyle w:val="BodyText"/>
      </w:pPr>
      <w:r>
        <w:t xml:space="preserve">Part of the variation is attributable to protocol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since a mapping whose slope depends on the stopping rule still cannot be carried to a site whose stopping rule is unknown, but it means the residual spread is not an irreducible population property, and a site reporting its stopping rule alongside a calibration score would remove a substantial share of the uncertainty in a transported estimate.</w:t>
      </w:r>
    </w:p>
    <w:p>
      <w:pPr>
        <w:pStyle w:val="BodyText"/>
      </w:pPr>
      <w:r>
        <w:t xml:space="preserve">The 18 development folds are themselves stable: their intercept and slope coefficients (supplement, Table S12) vary by a coefficient of variation of 2.5% and 3.3% across folds, against 49.4% for the held-out cohort-specific slopes in Table S2, evidence against development-fit noise as an explanation for the heterogeneity (the between-cohort spread reflects how each fold performs in its withheld cohort, not instability in what each fold fits).</w:t>
      </w:r>
    </w:p>
    <w:p>
      <w:pPr>
        <w:pStyle w:val="BodyText"/>
      </w:pPr>
      <w:r>
        <w:t xml:space="preserve">The 18 folds are also not independent, since any two share up to 16 of 17 development cohorts, and a joint bootstrap addresses that correlation directly: resampling every cohort’s participants once per replicate and refitting all 18 folds from that single draw gave a within-replicate between-cohort SD of the slope averaging 0.79 across 2,000 replicates (95% range 0.49 to 1.56) and of the intercept 1.62 (0.94 to 3.36), larger than the meta-analytic tau (0.43, 0.87). This is expected rather than discordant: since the procedure never resamples which 18 cohorts are observed, only participants within each fixed cohort, it mixes genuine heterogeneity with within-cohort sampling noise and estimates something closer to the square root of tau squared plus mean within-cohort sampling variance, structurally at least as large as tau, not a corrected or dependence-aware version of tau itself (supplement, S4).</w:t>
      </w:r>
    </w:p>
    <w:p>
      <w:pPr>
        <w:pStyle w:val="BodyText"/>
      </w:pPr>
      <w:r>
        <w:t xml:space="preserve">The four ALS cohorts alone gave a more favourable and homogeneous picture than the full archive (Results, ALS Subgroup); evaluating a mapping on few withheld cohorts should be expected to understate how much performance varies elsewhere.</w:t>
      </w:r>
    </w:p>
    <w:p>
      <w:pPr>
        <w:pStyle w:val="BodyText"/>
      </w:pPr>
      <w:r>
        <w:t xml:space="preserve">One analysis improved transportability: excluding records with more than 20% of calibration epochs above the artifact threshold reduced estimation error from 0.090 to 0.081 and the uncorrected between-cohort SD of the calibration slope from 0.560 to 0.465. Screening calibration data quality is therefore a candidate step warranting prospective evaluation, available at no cost since the rejection fraction is computed alongside the score.</w:t>
      </w:r>
    </w:p>
    <w:p>
      <w:pPr>
        <w:pStyle w:val="BodyText"/>
      </w:pPr>
      <w:r>
        <w:t xml:space="preserve">A mapping developed entirely without ALS data estimated ALS-cohort accuracy with a mean absolute error of 0.108, against 0.104 with other ALS cohorts available, so the relationship is not absent outside the clinical population, though whether it is population-dependent in another sense is unresolved. The calibration slope averaged higher in the ALS cohorts, one possible mechanism for mis-calibration, but with the cohort as the unit of analysis that difference is imprecise, the three tests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session throughout; temporal precedence cannot be verified from de-identified timestamps, so the separation enforced is between protocol phases, not demonstrated ordering (the preceding-session analysis is the closest approximation and shows an attenuated association).</w:t>
      </w:r>
    </w:p>
    <w:p>
      <w:pPr>
        <w:pStyle w:val="BodyText"/>
      </w:pPr>
      <w:r>
        <w:t xml:space="preserve">Second, the predictor is not the deployed decoder (Methods, What the Calibration Score Is, and What It Is Not).</w:t>
      </w:r>
    </w:p>
    <w:p>
      <w:pPr>
        <w:pStyle w:val="BodyText"/>
      </w:pPr>
      <w:r>
        <w:t xml:space="preserve">Third, the cohorts differ in speller matrix, stimulus paradigm, electrode type, and stopping rule, and paradigm is largely nested within source study, so withholding a cohort also withholds its paradigms and the two effects cannot be separated. Two protocol traces were tested (Results, Protocol Descriptors as Moderators): the time taken per selection, and the range of target indices; the archive’s documented grid size and stimulus paradigm were tested directly too, and none was associated with a share distinguishable from zero. What remains untestable is the stopping algorithm’s thresholds, the exact grid layout beyond documented size, and the online decision procedure.</w:t>
      </w:r>
    </w:p>
    <w:p>
      <w:pPr>
        <w:pStyle w:val="BodyText"/>
      </w:pPr>
      <w:r>
        <w:t xml:space="preserve">Fourth, 30.9% of records were at 100% accuracy and three cohorts were near ceiling; the sensitivity analysis restricted to cohorts with meaningful outcome variance gave a higher estimation error, so the primary estimate is favourably influenced by cohorts where the task was easy.</w:t>
      </w:r>
    </w:p>
    <w:p>
      <w:pPr>
        <w:pStyle w:val="BodyText"/>
      </w:pPr>
      <w:r>
        <w:t xml:space="preserve">Fifth, the outcome is character-level selection accuracy, an operational endpoint rather than communication effectiveness, quality of life, or any clinical outcome, and does not capture communication rate.[36] Sixth, these are legacy protocols; the analysis does not establish performance with contemporary assistive-communication workflows. Seventh, the archive identifies an ALS population for four cohorts only, with no participant-level clinical characteristics available for any cohort.</w:t>
      </w:r>
    </w:p>
    <w:p>
      <w:pPr>
        <w:pStyle w:val="BodyText"/>
      </w:pPr>
      <w:r>
        <w:t xml:space="preserve">Eighth, the cohort-type comparison carries two further limitations: each cohort’s slope comes from a model developed on the other 17 (14 without a documented ALS population), so part of the higher ALS slope could reflect development-set composition rather than population, and the 18 slopes share most of their development data, correlating them positively and making all three tests’ standard errors somewhat optimistic. Neither can be addressed at this number of cohorts.</w:t>
      </w:r>
    </w:p>
    <w:p>
      <w:pPr>
        <w:pStyle w:val="BodyText"/>
      </w:pPr>
      <w:r>
        <w:t xml:space="preserve">Ninth, the 18 held-out estimates are not fully independent, each development fold sharing 16 of the other 17 cohorts; the joint bootstrap above measures rather than merely bounds this correlation, and the fold-coefficient stability reported there is evidence against it inflating the observed spread.</w:t>
      </w:r>
    </w:p>
    <w:p>
      <w:pPr>
        <w:pStyle w:val="BodyText"/>
      </w:pPr>
      <w:r>
        <w:t xml:space="preserve">Tenth, the between-cohort variance is itself estimated with limited precision (18 cohorts of 5 to 24 participants), and a cluster-robust variance at these cluster counts is downward-biased, inflating tau and I² in the direction that favours the conclusion (Methods, Statistical Analysis); the conclusion holds at tau’s lower confidence limit and under the participant-cluster bootstrap, which gave a smaller tau of 0.37 (slope) and 0.77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but the fitted mapping did not transport: the calibration intercept spanned mappings that badly understate and badly overstate accuracy, the slope varied more than tenfold, and the prediction interval for a cohort outside the archive does not exclude chance discrimination or negative skill. The score may be useful for within-setting ranking after local validation, and the artifact-rejection fraction is a candidate data-quality screen warranting prospective evaluation; neither use has been prospectively validated here, and the score should not be used to report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2026-07-29T13:31:02Z</dcterms:created>
  <dcterms:modified xsi:type="dcterms:W3CDTF">2026-07-29T13:31:02Z</dcterms:modified>
</cp:coreProperties>
</file>

<file path=docProps/custom.xml><?xml version="1.0" encoding="utf-8"?>
<Properties xmlns="http://schemas.openxmlformats.org/officeDocument/2006/custom-properties" xmlns:vt="http://schemas.openxmlformats.org/officeDocument/2006/docPropsVTypes"/>
</file>