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planned subgroup, before widening to every source study with an eligible online outcome.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with a 95% interval for an unrepresented cohort of -1.97 to 1.85 on the log-odds scale, spanning mappings that badly understate and badly overstate accuracy. Slope heterogeneity led to the same conclusion, at tau 0.43 and an unrepresented-cohort interval of 0.111 to 2.005.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 A projected-accuracy measure built from flash-level data and a multi-feature predictor built from a separate rapid-serial-visual-presentation task have made related predictions from within-session or within-study data.[37,38]</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 To our knowledge, no published study has evaluated whether a calibration-derived score’s fitted mapping to online accuracy transports to a source study withheld from its development, as distinct from evaluating the score’s within-cohort association or its within-study discrimination.</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distinct P300-speller studies under a shared recording montage now make a larger number of withheld cohorts available.[18] A recent cross-dataset evaluation aligned P300 event-related-potential signals across independent archives to improve classification transfer, a different question from whether a fitted calibration-to-accuracy mapping itself transports numerically.[39]</w:t>
      </w:r>
    </w:p>
    <w:p>
      <w:pPr>
        <w:pStyle w:val="BodyText"/>
      </w:pPr>
      <w:r>
        <w:t xml:space="preserve">We evaluated whether a calibration-derived score estimates online session accuracy in the corresponding P300-speller session,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planned subgroup, before the design widened to every source study with an eligible online outcome.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originally planned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(Study Design and Reporting, above). The remaining cohorts carry no documented ALS population and are described here as other cohorts rather than as healthy or control cohorts, because the documentation does not support a positive characterisation.</w:t>
      </w:r>
    </w:p>
    <w:p>
      <w:pPr>
        <w:pStyle w:val="BodyText"/>
      </w:pPr>
      <w:r>
        <w:t xml:space="preserve">Participant identifiers are study-scoped; because the source studies draw from a limited number of contributing laboratories, participant overlap across studies cannot be ruled out from the archive’s documentation (supplement, S1).</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Cohort-level mean absolute error was pooled after natural-log transformation, because the quantity cannot be negative; the reported mean is the back-transformed geometric mean, and its between-cohort standard deviation is reported on the log scale, not back-transformed.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I²[31] and a 95% prediction interval for an unrepresented cohort accompany each. All 18 cohorts were fitted under the cluster, model and quasi-binomial specifications and none was dropped. Under the participant-cluster bootstrap check reported in the Discussion, Study S1’s cluster resamples fell onto the separation boundary often enough that fewer than half of its 2,000 replicates left an identified estimate, and that cohort is reported as not identified under the bootstrap method alone. Because the bootstrap’s smaller tau could reflect either the estimator or the missing cohort, the cluster-robust pooling was repeated on the identical 17 cohorts the bootstrap identified, excluding Study S1: tau = 0.44 for the slope and 0.87 for the intercept, no closer to the bootstrap’s own 0.37 and 0.77 than the all-18 cluster-robust values of 0.43 and 0.87 were, so most of the difference between the two methods reflects the variance estimator rather than Study S1’s exclusion (supplement, S4).</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I², so the I² reported below is an upper estimate: a 20% understatement of the within-cohort variances would put the slope I² below the conventional 75% threshold. I²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Ten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empirical proxies for the size of the speller matrix, bounded below by the alphabet actually spelled; grid size and stimulus paradigm, in contrast, were transcribed directly from the archive’s own data descriptor, which documents both per source study. A study was coded as using a checkerboard paradigm if any of its documented paradigms was a checkerboard variant (CB, CBcol, or sCB), because those variants share the flash-adjacency-avoidance design the checkerboard paradigm was built for; only 2 of the 18 contributing studies (Study D, Study J) lacked one. The archive’s EDF+ header dictionary also documents an equipment code, but as a single value (gUSBAmp) applying to the entire archive rather than a per-study field, so it does not vary across cohorts and could not be entered as a moderator.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ten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(the geometric mean; the arithmetic mean of the 18 cohort-level errors was 0.101)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I² are given beneath each panel; I² is descriptive only, for the reason given in the Results.</w:t>
      </w:r>
    </w:p>
    <w:p>
      <w:pPr>
        <w:pStyle w:val="BodyText"/>
      </w:pPr>
      <w:r>
        <w:drawing>
          <wp:inline>
            <wp:extent cx="5334000" cy="3879272"/>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(Figure 1).</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4284442"/>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4284442"/>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geometric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I²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I²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(Figure 1),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observed performance.</w:t>
      </w:r>
      <w:r>
        <w:t xml:space="preserve"> </w:t>
      </w:r>
      <w:r>
        <w:t xml:space="preserve">For each of the 18 contributing cohorts: participants, records, analysed selections, mean observed session-condition accuracy, and, when that cohort was withheld from model development, the mean absolute error and character-weighted area under the curve. ALS cohorts are listed first. The calibration intercept and slope for each cohort, with their 95% confidence intervals, are shown in Figure 1 rather than tabulated here; the full per-cohort table, which also carries the archive’s documented grid size and checkerboard-paradigm indicator for each cohort alongside the calibration intercept and slope, is Table S11 in the supplement.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tabulated in the supplement (Table S2),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 H the model was less accurate than both benchmarks, and it is the same cohort that fails the development-mean benchmark. Four are cohorts whose observed accuracy sits high enough that their own mean already tracks nearly every record: in Study E, Study R, Study S2 and Study S1, accuracy averages 0.921, 0.963, 0.976 and 0.997 and the own-mean benchmark errs by 0.049, 0.047, 0.035 and 0.005, leaving little error for any predictor to reduce. Study S1 is the limiting case, where that near-zero denominator makes the ratio large and negative and not comparable with the rest. In the sixth, Study 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the per-cohort slopes in Table S11 sum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ten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0.015), associated with a reduction in the between-cohort variance of the slope from tau squared = 0.187 to 0.063, a share of 66%, equivalently a residual between-cohort standard deviation of 0.25 against 0.43. The rank correlation agreed at rho = 0.72 (p &lt; 0.001, Holm p = 0.007),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the archive’s own documented grid size and its documented use of a checkerboard-variant paradigm, alongside both empirical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ten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records with heavy calibration-epoch rejection, and leave-two-studies-out development, which withheld two cohorts at a time so that development ran on 16 rather than 17 cohorts and reproduced the primary result across all 153 splits (Table S4). The cohort-subset comparison restricted to the cohorts without a documented ALS population, shown alongside these checks in Table S4 for comparison rather than as one of the four, gave a consistent result as well. Every comparator predictor named in the Methods was run through the same procedure and is reported in full in Table S6; the regularised linear discriminant computed from the identical features agreed with the primary score to within 0.007 on most summary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source-study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slope heterogeneity led to the same conclusion,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(a mapping whose slope depends on the stopping rule still cannot be carried to a site whose stopping rule is unknown),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S11. All three figures use the population standard deviation over the mean rather than the sample standard deviation reported elsewhere in this section, so they should not be reconciled arithmetically against the 0.560 figure above. The between-cohort spread this paper reports therefore reflects how each fold’s mapping performs in the cohort withheld from it, not instability in what each fold fits. That distinction is evidence against development-fit noise as an alternative explanation for the heterogeneity.</w:t>
      </w:r>
    </w:p>
    <w:p>
      <w:pPr>
        <w:pStyle w:val="BodyText"/>
      </w:pPr>
      <w:r>
        <w:t xml:space="preserve">The 18 folds are also not independent of one another, since any two share up to 16 of 17 development cohorts, and a joint bootstrap addresses that correlation directly rather than bounding it. Resampling every cohort’s participants once per replicate and refitting all 18 leave-one-study-out folds from that single resampled draw, so the same resampled development data enter every fold within a replicate instead of being redrawn independently fold by fold, gave a within-replicate between-cohort standard deviation of the slope that averaged 0.79 across 2,000 replicates (95% range 0.49 to 1.56) and of the intercept 1.62 (0.94 to 3.36), larger in both cases than the meta-analytic tau reported above (0.43 slope, 0.87 intercept). That direction is expected rather than discordant: because this procedure never resamples which 18 cohorts are observed, only the participants within each fixed cohort, the spread it measures mixes genuine between-cohort heterogeneity with each fold’s own within-cohort sampling noise and estimates something closer to the square root of tau squared plus the mean within-cohort sampling variance, which is structurally at least as large as tau. It is reported here as an empirical, assumption-light quantity that combines both sources of spread, not as a corrected or dependence-aware version of tau itself (supplement, S4).</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candidate step that warrants prospective evaluation,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The archive does document a grid size and a stimulus paradigm per study, unlike the stopping rule; both were tested directly and neither was associated with a share distinguishable from zero either (Results, Protocol Descriptors as Moderators). What remains untestable is the stopping algorithm and the thresholds it used, the exact grid layout beyond its documented total size,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Coefficients that varied widely across folds despite that shared training data would themselves be evidence of fold-to-fold instability, and they do not. That correlation is now measured rather than merely bounded: the joint bootstrap’s correlation matrix (supplement, S4) shows it concentrated in a handful of cohort pairs rather than spread evenly across all 153, consistent with a small number of cohorts having outsized influence on each other’s development fit rather than every fold moving in lockstep.</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I² in the direction that favours the conclusion. The conclusion holds at tau’s lower confidence limit, with within-cohort variances inflated fivefold (Results, Transportability), and under a participant-cluster bootstrap sensitivity analysis that does not rely on the sandwich standard-error approximation, which gave a smaller tau of 0.37 for the slope and 0.77 for the intercept (supplement, S4).</w:t>
      </w:r>
    </w:p>
    <w:p>
      <w:pPr>
        <w:pStyle w:val="BodyText"/>
      </w:pPr>
      <w:r>
        <w:t xml:space="preserve">Eleventh, because participant identifiers are study-scoped, we could not determine whether any individuals participated in more than one source study.</w:t>
      </w:r>
    </w:p>
    <w:bookmarkEnd w:id="48"/>
    <w:bookmarkStart w:id="49" w:name="conclusion"/>
    <w:p>
      <w:pPr>
        <w:pStyle w:val="Heading3"/>
      </w:pPr>
      <w:r>
        <w:t xml:space="preserve">Conclusion</w:t>
      </w:r>
    </w:p>
    <w:p>
      <w:pPr>
        <w:pStyle w:val="FirstParagraph"/>
      </w:pPr>
      <w:r>
        <w:t xml:space="preserve">In 18 source-study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the prediction interval for a cohort outside the archive does not exclude discrimination at chance or skill at or below zero. The score may be useful for within-setting ranking after local validation, and the artifact-rejection fraction is a candidate data-quality screen that warrants prospective evaluation; neither use has been prospectively validated here, and the score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(commit bb07fb994b0d776101afaef9f0f3dd9c12596124).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p>
      <w:pPr>
        <w:pStyle w:val="Compact"/>
        <w:numPr>
          <w:ilvl w:val="0"/>
          <w:numId w:val="1002"/>
        </w:numPr>
      </w:pPr>
      <w:r>
        <w:t xml:space="preserve">Colwell KA, Throckmorton CS, Collins LM, Morton KD. Projected accuracy metric for the P300 Speller.</w:t>
      </w:r>
      <w:r>
        <w:t xml:space="preserve"> </w:t>
      </w:r>
      <w:r>
        <w:rPr>
          <w:i/>
          <w:iCs/>
        </w:rPr>
        <w:t xml:space="preserve">IEEE Trans Neural Syst Rehabil Eng</w:t>
      </w:r>
      <w:r>
        <w:t xml:space="preserve">. 2014;22(5):921-925. doi:10.1109/TNSRE.2014.2324892</w:t>
      </w:r>
    </w:p>
    <w:p>
      <w:pPr>
        <w:pStyle w:val="Compact"/>
        <w:numPr>
          <w:ilvl w:val="0"/>
          <w:numId w:val="1002"/>
        </w:numPr>
      </w:pPr>
      <w:r>
        <w:t xml:space="preserve">Won K, Kwon M, Jang S, Ahn M, Jun SC. P300 speller performance predictor based on RSVP multi-feature.</w:t>
      </w:r>
      <w:r>
        <w:t xml:space="preserve"> </w:t>
      </w:r>
      <w:r>
        <w:rPr>
          <w:i/>
          <w:iCs/>
        </w:rPr>
        <w:t xml:space="preserve">Front Hum Neurosci</w:t>
      </w:r>
      <w:r>
        <w:t xml:space="preserve">. 2019;13:261. doi:10.3389/fnhum.2019.00261</w:t>
      </w:r>
    </w:p>
    <w:p>
      <w:pPr>
        <w:pStyle w:val="Compact"/>
        <w:numPr>
          <w:ilvl w:val="0"/>
          <w:numId w:val="1002"/>
        </w:numPr>
      </w:pPr>
      <w:r>
        <w:t xml:space="preserve">Song M, Gwon D, Jun SC, Ahn M. Signal alignment for cross-datasets in P300 brain-computer interfaces.</w:t>
      </w:r>
      <w:r>
        <w:t xml:space="preserve"> </w:t>
      </w:r>
      <w:r>
        <w:rPr>
          <w:i/>
          <w:iCs/>
        </w:rPr>
        <w:t xml:space="preserve">J Neural Eng</w:t>
      </w:r>
      <w:r>
        <w:t xml:space="preserve">. 2024;21(3):036007. doi:10.1088/1741-2552/ad430d</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2026-07-28T17:41:13Z</dcterms:created>
  <dcterms:modified xsi:type="dcterms:W3CDTF">2026-07-28T17:41:13Z</dcterms:modified>
</cp:coreProperties>
</file>

<file path=docProps/custom.xml><?xml version="1.0" encoding="utf-8"?>
<Properties xmlns="http://schemas.openxmlformats.org/officeDocument/2006/custom-properties" xmlns:vt="http://schemas.openxmlformats.org/officeDocument/2006/docPropsVTypes"/>
</file>