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additionally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pct" w:w="5000"/>
        <w:tblLayout w:type="fixed"/>
        <w:tblLook w:firstRow="1" w:lastRow="0" w:firstColumn="0" w:lastColumn="0" w:noHBand="0" w:noVBand="0" w:val="0020"/>
      </w:tblPr>
      <w:tblGrid>
        <w:gridCol w:w="1377"/>
        <w:gridCol w:w="1721"/>
        <w:gridCol w:w="1147"/>
        <w:gridCol w:w="3673"/>
      </w:tblGrid>
      <w:tr>
        <w:trPr>
          <w:cantSplit/>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rPr>
          <w:cantSplit/>
        </w:trP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rPr>
          <w:cantSplit/>
        </w:trP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rPr>
          <w:cantSplit/>
        </w:trP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rPr>
          <w:cantSplit/>
        </w:trP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rPr>
          <w:cantSplit/>
        </w:trP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rPr>
          <w:cantSplit/>
        </w:trP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rPr>
          <w:cantSplit/>
        </w:trP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rPr>
          <w:cantSplit/>
        </w:trP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rPr>
          <w:cantSplit/>
        </w:trP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rPr>
          <w:cantSplit/>
        </w:trP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rPr>
          <w:cantSplit/>
        </w:trP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rPr>
          <w:cantSplit/>
        </w:trP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rPr>
          <w:cantSplit/>
        </w:trP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rPr>
          <w:cantSplit/>
        </w:trP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rPr>
          <w:cantSplit/>
        </w:trP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rPr>
          <w:cantSplit/>
        </w:trP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rPr>
          <w:cantSplit/>
        </w:trP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rPr>
          <w:cantSplit/>
        </w:trP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rPr>
          <w:cantSplit/>
        </w:trP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rPr>
          <w:cantSplit/>
        </w:trP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rPr>
          <w:cantSplit/>
        </w:trP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keepNext/>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w:t>
      </w:r>
    </w:p>
    <w:tbl>
      <w:tblPr>
        <w:tblStyle w:val="Table"/>
        <w:tblW w:type="pct" w:w="5000"/>
        <w:tblLayout w:type="fixed"/>
        <w:tblLook w:firstRow="1" w:lastRow="0" w:firstColumn="0" w:lastColumn="0" w:noHBand="0" w:noVBand="0" w:val="0020"/>
      </w:tblPr>
      <w:tblGrid>
        <w:gridCol w:w="1515"/>
        <w:gridCol w:w="1308"/>
        <w:gridCol w:w="1170"/>
        <w:gridCol w:w="1721"/>
        <w:gridCol w:w="2203"/>
      </w:tblGrid>
      <w:tr>
        <w:trPr>
          <w:cantSplit/>
          <w:tblHeader w:val="on"/>
        </w:trPr>
        <w:tc>
          <w:tcPr/>
          <w:p>
            <w:pPr>
              <w:keepNext/>
              <w:pStyle w:val="Compact"/>
            </w:pPr>
            <w:r>
              <w:t xml:space="preserve">Quantity</w:t>
            </w:r>
          </w:p>
        </w:tc>
        <w:tc>
          <w:tcPr/>
          <w:p>
            <w:pPr>
              <w:keepNext/>
              <w:pStyle w:val="Compact"/>
              <w:jc w:val="right"/>
            </w:pPr>
            <w:r>
              <w:t xml:space="preserve">Mean across cohorts</w:t>
            </w:r>
          </w:p>
        </w:tc>
        <w:tc>
          <w:tcPr/>
          <w:p>
            <w:pPr>
              <w:keepNext/>
              <w:pStyle w:val="Compact"/>
              <w:jc w:val="right"/>
            </w:pPr>
            <w:r>
              <w:t xml:space="preserve">Between-cohort SD</w:t>
            </w:r>
          </w:p>
        </w:tc>
        <w:tc>
          <w:tcPr/>
          <w:p>
            <w:pPr>
              <w:keepNext/>
              <w:pStyle w:val="Compact"/>
            </w:pPr>
            <w:r>
              <w:t xml:space="preserve">95% interval for the mean</w:t>
            </w:r>
          </w:p>
        </w:tc>
        <w:tc>
          <w:tcPr/>
          <w:p>
            <w:pPr>
              <w:keepNext/>
              <w:pStyle w:val="Compact"/>
            </w:pPr>
            <w:r>
              <w:t xml:space="preserve">95% interval for an unrepresented cohort</w:t>
            </w:r>
          </w:p>
        </w:tc>
      </w:tr>
      <w:tr>
        <w:trPr>
          <w:cantSplit/>
        </w:trPr>
        <w:tc>
          <w:tcPr/>
          <w:p>
            <w:pPr>
              <w:keepNext/>
              <w:pStyle w:val="Compact"/>
            </w:pPr>
            <w:r>
              <w:t xml:space="preserve">Mean absolute error</w:t>
            </w:r>
          </w:p>
        </w:tc>
        <w:tc>
          <w:tcPr/>
          <w:p>
            <w:pPr>
              <w:keepNext/>
              <w:pStyle w:val="Compact"/>
              <w:jc w:val="right"/>
            </w:pPr>
            <w:r>
              <w:t xml:space="preserve">0.101</w:t>
            </w:r>
          </w:p>
        </w:tc>
        <w:tc>
          <w:tcPr/>
          <w:p>
            <w:pPr>
              <w:keepNext/>
              <w:pStyle w:val="Compact"/>
              <w:jc w:val="right"/>
            </w:pPr>
            <w:r>
              <w:t xml:space="preserve">0.047</w:t>
            </w:r>
          </w:p>
        </w:tc>
        <w:tc>
          <w:tcPr/>
          <w:p>
            <w:pPr>
              <w:keepNext/>
              <w:pStyle w:val="Compact"/>
            </w:pPr>
            <w:r>
              <w:t xml:space="preserve">0.077 to 0.124</w:t>
            </w:r>
          </w:p>
        </w:tc>
        <w:tc>
          <w:tcPr/>
          <w:p>
            <w:pPr>
              <w:keepNext/>
              <w:pStyle w:val="Compact"/>
            </w:pPr>
            <w:r>
              <w:t xml:space="preserve">-0.002 to 0.203</w:t>
            </w:r>
          </w:p>
        </w:tc>
      </w:tr>
      <w:tr>
        <w:trPr>
          <w:cantSplit/>
        </w:trPr>
        <w:tc>
          <w:tcPr/>
          <w:p>
            <w:pPr>
              <w:keepNext/>
              <w:pStyle w:val="Compact"/>
            </w:pPr>
            <w:r>
              <w:t xml:space="preserve">Brier skill score</w:t>
            </w:r>
          </w:p>
        </w:tc>
        <w:tc>
          <w:tcPr/>
          <w:p>
            <w:pPr>
              <w:keepNext/>
              <w:pStyle w:val="Compact"/>
              <w:jc w:val="right"/>
            </w:pPr>
            <w:r>
              <w:t xml:space="preserve">0.174</w:t>
            </w:r>
          </w:p>
        </w:tc>
        <w:tc>
          <w:tcPr/>
          <w:p>
            <w:pPr>
              <w:keepNext/>
              <w:pStyle w:val="Compact"/>
              <w:jc w:val="right"/>
            </w:pPr>
            <w:r>
              <w:t xml:space="preserve">0.217</w:t>
            </w:r>
          </w:p>
        </w:tc>
        <w:tc>
          <w:tcPr/>
          <w:p>
            <w:pPr>
              <w:keepNext/>
              <w:pStyle w:val="Compact"/>
            </w:pPr>
            <w:r>
              <w:t xml:space="preserve">0.066 to 0.282</w:t>
            </w:r>
          </w:p>
        </w:tc>
        <w:tc>
          <w:tcPr/>
          <w:p>
            <w:pPr>
              <w:keepNext/>
              <w:pStyle w:val="Compact"/>
            </w:pPr>
            <w:r>
              <w:t xml:space="preserve">-0.296 to 0.644</w:t>
            </w:r>
          </w:p>
        </w:tc>
      </w:tr>
      <w:tr>
        <w:trPr>
          <w:cantSplit/>
        </w:trPr>
        <w:tc>
          <w:tcPr/>
          <w:p>
            <w:pPr>
              <w:keepNext/>
              <w:pStyle w:val="Compact"/>
            </w:pPr>
            <w:r>
              <w:t xml:space="preserve">Character-weighted AUC</w:t>
            </w:r>
          </w:p>
        </w:tc>
        <w:tc>
          <w:tcPr/>
          <w:p>
            <w:pPr>
              <w:keepNext/>
              <w:pStyle w:val="Compact"/>
              <w:jc w:val="right"/>
            </w:pPr>
            <w:r>
              <w:t xml:space="preserve">0.713</w:t>
            </w:r>
          </w:p>
        </w:tc>
        <w:tc>
          <w:tcPr/>
          <w:p>
            <w:pPr>
              <w:keepNext/>
              <w:pStyle w:val="Compact"/>
              <w:jc w:val="right"/>
            </w:pPr>
            <w:r>
              <w:t xml:space="preserve">0.102</w:t>
            </w:r>
          </w:p>
        </w:tc>
        <w:tc>
          <w:tcPr/>
          <w:p>
            <w:pPr>
              <w:keepNext/>
              <w:pStyle w:val="Compact"/>
            </w:pPr>
            <w:r>
              <w:t xml:space="preserve">0.662 to 0.764</w:t>
            </w:r>
          </w:p>
        </w:tc>
        <w:tc>
          <w:tcPr/>
          <w:p>
            <w:pPr>
              <w:keepNext/>
              <w:pStyle w:val="Compact"/>
            </w:pPr>
            <w:r>
              <w:t xml:space="preserve">0.491 to 0.935</w:t>
            </w:r>
          </w:p>
        </w:tc>
      </w:tr>
      <w:tr>
        <w:trPr>
          <w:cantSplit/>
        </w:trPr>
        <w:tc>
          <w:tcPr/>
          <w:p>
            <w:pPr>
              <w:keepNext/>
              <w:pStyle w:val="Compact"/>
            </w:pPr>
            <w:r>
              <w:t xml:space="preserve">Calibration intercept</w:t>
            </w:r>
          </w:p>
        </w:tc>
        <w:tc>
          <w:tcPr/>
          <w:p>
            <w:pPr>
              <w:keepNext/>
              <w:pStyle w:val="Compact"/>
              <w:jc w:val="right"/>
            </w:pPr>
            <w:r>
              <w:t xml:space="preserve">-0.008</w:t>
            </w:r>
          </w:p>
        </w:tc>
        <w:tc>
          <w:tcPr/>
          <w:p>
            <w:pPr>
              <w:keepNext/>
              <w:pStyle w:val="Compact"/>
              <w:jc w:val="right"/>
            </w:pPr>
            <w:r>
              <w:t xml:space="preserve">1.175</w:t>
            </w:r>
          </w:p>
        </w:tc>
        <w:tc>
          <w:tcPr/>
          <w:p>
            <w:pPr>
              <w:keepNext/>
              <w:pStyle w:val="Compact"/>
            </w:pPr>
            <w:r>
              <w:t xml:space="preserve">-0.592 to 0.576</w:t>
            </w:r>
          </w:p>
        </w:tc>
        <w:tc>
          <w:tcPr/>
          <w:p>
            <w:pPr>
              <w:keepNext/>
              <w:pStyle w:val="Compact"/>
            </w:pPr>
            <w:r>
              <w:t xml:space="preserve">-2.555 to 2.539</w:t>
            </w:r>
          </w:p>
        </w:tc>
      </w:tr>
      <w:tr>
        <w:trPr>
          <w:cantSplit/>
        </w:trP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keepNext/>
        <w:pStyle w:val="BodyText"/>
      </w:pPr>
      <w:r>
        <w:rPr>
          <w:i/>
          <w:iCs/>
        </w:rPr>
        <w:t xml:space="preserve">By level.</w:t>
      </w:r>
    </w:p>
    <w:tbl>
      <w:tblPr>
        <w:tblStyle w:val="Table"/>
        <w:tblW w:type="pct" w:w="5000"/>
        <w:tblLayout w:type="fixed"/>
        <w:tblLook w:firstRow="1" w:lastRow="0" w:firstColumn="0" w:lastColumn="0" w:noHBand="0" w:noVBand="0" w:val="0020"/>
      </w:tblPr>
      <w:tblGrid>
        <w:gridCol w:w="3334"/>
        <w:gridCol w:w="937"/>
        <w:gridCol w:w="937"/>
        <w:gridCol w:w="1458"/>
        <w:gridCol w:w="1250"/>
      </w:tblGrid>
      <w:tr>
        <w:trPr>
          <w:cantSplit/>
          <w:tblHeader w:val="on"/>
        </w:trPr>
        <w:tc>
          <w:tcPr/>
          <w:p>
            <w:pPr>
              <w:keepNext/>
              <w:pStyle w:val="Compact"/>
            </w:pPr>
            <w:r>
              <w:t xml:space="preserve">Level</w:t>
            </w:r>
          </w:p>
        </w:tc>
        <w:tc>
          <w:tcPr/>
          <w:p>
            <w:pPr>
              <w:keepNext/>
              <w:pStyle w:val="Compact"/>
              <w:jc w:val="right"/>
            </w:pPr>
            <w:r>
              <w:t xml:space="preserve">n</w:t>
            </w:r>
          </w:p>
        </w:tc>
        <w:tc>
          <w:tcPr/>
          <w:p>
            <w:pPr>
              <w:keepNext/>
              <w:pStyle w:val="Compact"/>
              <w:jc w:val="right"/>
            </w:pPr>
            <w:r>
              <w:t xml:space="preserve">Pearson r</w:t>
            </w:r>
          </w:p>
        </w:tc>
        <w:tc>
          <w:tcPr/>
          <w:p>
            <w:pPr>
              <w:keepNext/>
              <w:pStyle w:val="Compact"/>
            </w:pPr>
            <w:r>
              <w:t xml:space="preserve">95% CI</w:t>
            </w:r>
          </w:p>
        </w:tc>
        <w:tc>
          <w:tcPr/>
          <w:p>
            <w:pPr>
              <w:keepNext/>
              <w:pStyle w:val="Compact"/>
              <w:jc w:val="right"/>
            </w:pPr>
            <w:r>
              <w:t xml:space="preserve">Spearman rho</w:t>
            </w:r>
          </w:p>
        </w:tc>
      </w:tr>
      <w:tr>
        <w:trPr>
          <w:cantSplit/>
        </w:trPr>
        <w:tc>
          <w:tcPr/>
          <w:p>
            <w:pPr>
              <w:keepNext/>
              <w:pStyle w:val="Compact"/>
            </w:pPr>
            <w:r>
              <w:t xml:space="preserve">Sessions, pooled</w:t>
            </w:r>
          </w:p>
        </w:tc>
        <w:tc>
          <w:tcPr/>
          <w:p>
            <w:pPr>
              <w:keepNext/>
              <w:pStyle w:val="Compact"/>
              <w:jc w:val="right"/>
            </w:pPr>
            <w:r>
              <w:t xml:space="preserve">410</w:t>
            </w:r>
          </w:p>
        </w:tc>
        <w:tc>
          <w:tcPr/>
          <w:p>
            <w:pPr>
              <w:keepNext/>
              <w:pStyle w:val="Compact"/>
              <w:jc w:val="right"/>
            </w:pPr>
            <w:r>
              <w:t xml:space="preserve">0.716</w:t>
            </w:r>
          </w:p>
        </w:tc>
        <w:tc>
          <w:tcPr/>
          <w:p>
            <w:pPr>
              <w:keepNext/>
              <w:pStyle w:val="Compact"/>
            </w:pPr>
            <w:r>
              <w:t xml:space="preserve">0.665 to 0.760</w:t>
            </w:r>
          </w:p>
        </w:tc>
        <w:tc>
          <w:tcPr/>
          <w:p>
            <w:pPr>
              <w:keepNext/>
              <w:pStyle w:val="Compact"/>
              <w:jc w:val="right"/>
            </w:pPr>
            <w:r>
              <w:t xml:space="preserve">0.718</w:t>
            </w:r>
          </w:p>
        </w:tc>
      </w:tr>
      <w:tr>
        <w:trPr>
          <w:cantSplit/>
        </w:trPr>
        <w:tc>
          <w:tcPr/>
          <w:p>
            <w:pPr>
              <w:keepNext/>
              <w:pStyle w:val="Compact"/>
            </w:pPr>
            <w:r>
              <w:t xml:space="preserve">Sessions, centred within cohort</w:t>
            </w:r>
          </w:p>
        </w:tc>
        <w:tc>
          <w:tcPr/>
          <w:p>
            <w:pPr>
              <w:keepNext/>
              <w:pStyle w:val="Compact"/>
              <w:jc w:val="right"/>
            </w:pPr>
            <w:r>
              <w:t xml:space="preserve">410</w:t>
            </w:r>
          </w:p>
        </w:tc>
        <w:tc>
          <w:tcPr/>
          <w:p>
            <w:pPr>
              <w:keepNext/>
              <w:pStyle w:val="Compact"/>
              <w:jc w:val="right"/>
            </w:pPr>
            <w:r>
              <w:t xml:space="preserve">0.677</w:t>
            </w:r>
          </w:p>
        </w:tc>
        <w:tc>
          <w:tcPr/>
          <w:p>
            <w:pPr>
              <w:keepNext/>
              <w:pStyle w:val="Compact"/>
            </w:pPr>
            <w:r>
              <w:t xml:space="preserve">0.621 to 0.726</w:t>
            </w:r>
          </w:p>
        </w:tc>
        <w:tc>
          <w:tcPr/>
          <w:p>
            <w:pPr>
              <w:keepNext/>
              <w:pStyle w:val="Compact"/>
              <w:jc w:val="right"/>
            </w:pPr>
            <w:r>
              <w:t xml:space="preserve">0.646</w:t>
            </w:r>
          </w:p>
        </w:tc>
      </w:tr>
      <w:tr>
        <w:trPr>
          <w:cantSplit/>
        </w:trPr>
        <w:tc>
          <w:tcPr/>
          <w:p>
            <w:pPr>
              <w:keepNext/>
              <w:pStyle w:val="Compact"/>
            </w:pPr>
            <w:r>
              <w:t xml:space="preserve">Participants</w:t>
            </w:r>
          </w:p>
        </w:tc>
        <w:tc>
          <w:tcPr/>
          <w:p>
            <w:pPr>
              <w:keepNext/>
              <w:pStyle w:val="Compact"/>
              <w:jc w:val="right"/>
            </w:pPr>
            <w:r>
              <w:t xml:space="preserve">271</w:t>
            </w:r>
          </w:p>
        </w:tc>
        <w:tc>
          <w:tcPr/>
          <w:p>
            <w:pPr>
              <w:keepNext/>
              <w:pStyle w:val="Compact"/>
              <w:jc w:val="right"/>
            </w:pPr>
            <w:r>
              <w:t xml:space="preserve">0.714</w:t>
            </w:r>
          </w:p>
        </w:tc>
        <w:tc>
          <w:tcPr/>
          <w:p>
            <w:pPr>
              <w:keepNext/>
              <w:pStyle w:val="Compact"/>
            </w:pPr>
            <w:r>
              <w:t xml:space="preserve">0.650 to 0.768</w:t>
            </w:r>
          </w:p>
        </w:tc>
        <w:tc>
          <w:tcPr/>
          <w:p>
            <w:pPr>
              <w:keepNext/>
              <w:pStyle w:val="Compact"/>
              <w:jc w:val="right"/>
            </w:pPr>
            <w:r>
              <w:t xml:space="preserve">0.756</w:t>
            </w:r>
          </w:p>
        </w:tc>
      </w:tr>
      <w:tr>
        <w:trPr>
          <w:cantSplit/>
        </w:trPr>
        <w:tc>
          <w:tcPr/>
          <w:p>
            <w:pPr>
              <w:keepNext/>
              <w:pStyle w:val="Compact"/>
            </w:pPr>
            <w:r>
              <w:t xml:space="preserve">Preceding session to later session</w:t>
            </w:r>
          </w:p>
        </w:tc>
        <w:tc>
          <w:tcPr/>
          <w:p>
            <w:pPr>
              <w:keepNext/>
              <w:pStyle w:val="Compact"/>
              <w:jc w:val="right"/>
            </w:pPr>
            <w:r>
              <w:t xml:space="preserve">139 pairs</w:t>
            </w:r>
          </w:p>
        </w:tc>
        <w:tc>
          <w:tcPr/>
          <w:p>
            <w:pPr>
              <w:keepNext/>
              <w:pStyle w:val="Compact"/>
              <w:jc w:val="right"/>
            </w:pPr>
            <w:r>
              <w:t xml:space="preserve">0.513</w:t>
            </w:r>
          </w:p>
        </w:tc>
        <w:tc>
          <w:tcPr/>
          <w:p>
            <w:pPr>
              <w:keepNext/>
              <w:pStyle w:val="Compact"/>
            </w:pPr>
            <w:r>
              <w:t xml:space="preserve">0.379 to 0.626</w:t>
            </w:r>
          </w:p>
        </w:tc>
        <w:tc>
          <w:tcPr/>
          <w:p>
            <w:pPr>
              <w:keepNext/>
              <w:pStyle w:val="Compact"/>
              <w:jc w:val="right"/>
            </w:pPr>
            <w:r>
              <w:t xml:space="preserve">0.462</w:t>
            </w:r>
          </w:p>
        </w:tc>
      </w:tr>
      <w:tr>
        <w:trPr>
          <w:cantSplit/>
        </w:trP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pct" w:w="5000"/>
        <w:tblLayout w:type="fixed"/>
        <w:tblLook w:firstRow="1" w:lastRow="0" w:firstColumn="0" w:lastColumn="0" w:noHBand="0" w:noVBand="0" w:val="0020"/>
      </w:tblPr>
      <w:tblGrid>
        <w:gridCol w:w="1508"/>
        <w:gridCol w:w="1885"/>
        <w:gridCol w:w="1697"/>
        <w:gridCol w:w="2828"/>
      </w:tblGrid>
      <w:tr>
        <w:trPr>
          <w:cantSplit/>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rPr>
          <w:cantSplit/>
        </w:trP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rPr>
          <w:cantSplit/>
        </w:trP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rPr>
          <w:cantSplit/>
        </w:trP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rPr>
          <w:cantSplit/>
        </w:trP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rPr>
          <w:cantSplit/>
        </w:trP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rPr>
          <w:cantSplit/>
        </w:trP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rPr>
          <w:cantSplit/>
        </w:trP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rPr>
          <w:cantSplit/>
        </w:trP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rPr>
          <w:cantSplit/>
        </w:trP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rPr>
          <w:cantSplit/>
        </w:trP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rPr>
          <w:cantSplit/>
        </w:trP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rPr>
          <w:cantSplit/>
        </w:trP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rPr>
          <w:cantSplit/>
        </w:trP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rPr>
          <w:cantSplit/>
        </w:trP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rPr>
          <w:cantSplit/>
        </w:trP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rPr>
          <w:cantSplit/>
        </w:trP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rPr>
          <w:cantSplit/>
        </w:trP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rPr>
          <w:cantSplit/>
        </w:trP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5028436" cy="3898793"/>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5028436" cy="3898793"/>
                    </a:xfrm>
                    <a:prstGeom prst="rect">
                      <a:avLst/>
                    </a:prstGeom>
                    <a:noFill/>
                    <a:ln w="9525">
                      <a:noFill/>
                      <a:headEnd/>
                      <a:tailEnd/>
                    </a:ln>
                  </pic:spPr>
                </pic:pic>
              </a:graphicData>
            </a:graphic>
          </wp:inline>
        </w:drawing>
      </w:r>
      <w:r>
        <w:t xml:space="preserve">{width=88%}</w:t>
      </w:r>
    </w:p>
    <w:bookmarkEnd w:id="16"/>
    <w:bookmarkStart w:id="17" w:name="s6-sensitivity-analyses"/>
    <w:p>
      <w:pPr>
        <w:pStyle w:val="Heading2"/>
      </w:pPr>
      <w:r>
        <w:t xml:space="preserve">S6. Sensitivity analyses</w:t>
      </w:r>
    </w:p>
    <w:p>
      <w:pPr>
        <w:keepNext/>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is the mean of the cohort-level errors, not the pooled error over records, and the two are different quantities: the ALS row reads 0.093 here, the mean of that subgroup's four cohort errors, where the main text reports 0.091 for the same analysis pooled over all of its withheld records. Table S6 draws the same distinction between its pooled and cohort-mean columns.</w:t>
      </w:r>
    </w:p>
    <w:tbl>
      <w:tblPr>
        <w:tblStyle w:val="Table"/>
        <w:tblW w:type="pct" w:w="5000"/>
        <w:tblLayout w:type="fixed"/>
        <w:tblLook w:firstRow="1" w:lastRow="0" w:firstColumn="0" w:lastColumn="0" w:noHBand="0" w:noVBand="0" w:val="0020"/>
      </w:tblPr>
      <w:tblGrid>
        <w:gridCol w:w="1964"/>
        <w:gridCol w:w="552"/>
        <w:gridCol w:w="1166"/>
        <w:gridCol w:w="1043"/>
        <w:gridCol w:w="1964"/>
        <w:gridCol w:w="1227"/>
      </w:tblGrid>
      <w:tr>
        <w:trPr>
          <w:cantSplit/>
          <w:tblHeader w:val="on"/>
        </w:trPr>
        <w:tc>
          <w:tcPr/>
          <w:p>
            <w:pPr>
              <w:keepNext/>
              <w:pStyle w:val="Compact"/>
            </w:pPr>
            <w:r>
              <w:t xml:space="preserve">Analysis</w:t>
            </w:r>
          </w:p>
        </w:tc>
        <w:tc>
          <w:tcPr/>
          <w:p>
            <w:pPr>
              <w:keepNext/>
              <w:pStyle w:val="Compact"/>
              <w:jc w:val="right"/>
            </w:pPr>
            <w:r>
              <w:t xml:space="preserve">Cohorts</w:t>
            </w:r>
          </w:p>
        </w:tc>
        <w:tc>
          <w:tcPr/>
          <w:p>
            <w:pPr>
              <w:keepNext/>
              <w:pStyle w:val="Compact"/>
              <w:jc w:val="right"/>
            </w:pPr>
            <w:r>
              <w:t xml:space="preserve">Mean absolute error</w:t>
            </w:r>
          </w:p>
        </w:tc>
        <w:tc>
          <w:tcPr/>
          <w:p>
            <w:pPr>
              <w:keepNext/>
              <w:pStyle w:val="Compact"/>
              <w:jc w:val="right"/>
            </w:pPr>
            <w:r>
              <w:t xml:space="preserve">Between-cohort SD</w:t>
            </w:r>
          </w:p>
        </w:tc>
        <w:tc>
          <w:tcPr/>
          <w:p>
            <w:pPr>
              <w:keepNext/>
              <w:pStyle w:val="Compact"/>
            </w:pPr>
            <w:r>
              <w:t xml:space="preserve">Interval for an unrepresented cohort</w:t>
            </w:r>
          </w:p>
        </w:tc>
        <w:tc>
          <w:tcPr/>
          <w:p>
            <w:pPr>
              <w:keepNext/>
              <w:pStyle w:val="Compact"/>
              <w:jc w:val="right"/>
            </w:pPr>
            <w:r>
              <w:t xml:space="preserve">Calibration-slope SD</w:t>
            </w:r>
          </w:p>
        </w:tc>
      </w:tr>
      <w:tr>
        <w:trPr>
          <w:cantSplit/>
        </w:trPr>
        <w:tc>
          <w:tcPr/>
          <w:p>
            <w:pPr>
              <w:keepNext/>
              <w:pStyle w:val="Compact"/>
            </w:pPr>
            <w:r>
              <w:t xml:space="preserve">Primary, all contributing cohorts</w:t>
            </w:r>
          </w:p>
        </w:tc>
        <w:tc>
          <w:tcPr/>
          <w:p>
            <w:pPr>
              <w:keepNext/>
              <w:pStyle w:val="Compact"/>
              <w:jc w:val="right"/>
            </w:pPr>
            <w:r>
              <w:t xml:space="preserve">18</w:t>
            </w:r>
          </w:p>
        </w:tc>
        <w:tc>
          <w:tcPr/>
          <w:p>
            <w:pPr>
              <w:keepNext/>
              <w:pStyle w:val="Compact"/>
              <w:jc w:val="right"/>
            </w:pPr>
            <w:r>
              <w:t xml:space="preserve">0.101</w:t>
            </w:r>
          </w:p>
        </w:tc>
        <w:tc>
          <w:tcPr/>
          <w:p>
            <w:pPr>
              <w:keepNext/>
              <w:pStyle w:val="Compact"/>
              <w:jc w:val="right"/>
            </w:pPr>
            <w:r>
              <w:t xml:space="preserve">0.047</w:t>
            </w:r>
          </w:p>
        </w:tc>
        <w:tc>
          <w:tcPr/>
          <w:p>
            <w:pPr>
              <w:keepNext/>
              <w:pStyle w:val="Compact"/>
            </w:pPr>
            <w:r>
              <w:t xml:space="preserve">-0.002 to 0.203</w:t>
            </w:r>
          </w:p>
        </w:tc>
        <w:tc>
          <w:tcPr/>
          <w:p>
            <w:pPr>
              <w:keepNext/>
              <w:pStyle w:val="Compact"/>
              <w:jc w:val="right"/>
            </w:pPr>
            <w:r>
              <w:t xml:space="preserve">0.560</w:t>
            </w:r>
          </w:p>
        </w:tc>
      </w:tr>
      <w:tr>
        <w:trPr>
          <w:cantSplit/>
        </w:trPr>
        <w:tc>
          <w:tcPr/>
          <w:p>
            <w:pPr>
              <w:keepNext/>
              <w:pStyle w:val="Compact"/>
            </w:pPr>
            <w:r>
              <w:t xml:space="preserve">Cohorts with outcome SD at least 0.10</w:t>
            </w:r>
          </w:p>
        </w:tc>
        <w:tc>
          <w:tcPr/>
          <w:p>
            <w:pPr>
              <w:keepNext/>
              <w:pStyle w:val="Compact"/>
              <w:jc w:val="right"/>
            </w:pPr>
            <w:r>
              <w:t xml:space="preserve">12</w:t>
            </w:r>
          </w:p>
        </w:tc>
        <w:tc>
          <w:tcPr/>
          <w:p>
            <w:pPr>
              <w:keepNext/>
              <w:pStyle w:val="Compact"/>
              <w:jc w:val="right"/>
            </w:pPr>
            <w:r>
              <w:t xml:space="preserve">0.124</w:t>
            </w:r>
          </w:p>
        </w:tc>
        <w:tc>
          <w:tcPr/>
          <w:p>
            <w:pPr>
              <w:keepNext/>
              <w:pStyle w:val="Compact"/>
              <w:jc w:val="right"/>
            </w:pPr>
            <w:r>
              <w:t xml:space="preserve">0.042</w:t>
            </w:r>
          </w:p>
        </w:tc>
        <w:tc>
          <w:tcPr/>
          <w:p>
            <w:pPr>
              <w:keepNext/>
              <w:pStyle w:val="Compact"/>
            </w:pPr>
            <w:r>
              <w:t xml:space="preserve">0.029 to 0.220</w:t>
            </w:r>
          </w:p>
        </w:tc>
        <w:tc>
          <w:tcPr/>
          <w:p>
            <w:pPr>
              <w:keepNext/>
              <w:pStyle w:val="Compact"/>
              <w:jc w:val="right"/>
            </w:pPr>
            <w:r>
              <w:t xml:space="preserve">0.601</w:t>
            </w:r>
          </w:p>
        </w:tc>
      </w:tr>
      <w:tr>
        <w:trPr>
          <w:cantSplit/>
        </w:trPr>
        <w:tc>
          <w:tcPr/>
          <w:p>
            <w:pPr>
              <w:keepNext/>
              <w:pStyle w:val="Compact"/>
            </w:pPr>
            <w:r>
              <w:t xml:space="preserve">Records with artifact rejection at most 20%</w:t>
            </w:r>
          </w:p>
        </w:tc>
        <w:tc>
          <w:tcPr/>
          <w:p>
            <w:pPr>
              <w:keepNext/>
              <w:pStyle w:val="Compact"/>
              <w:jc w:val="right"/>
            </w:pPr>
            <w:r>
              <w:t xml:space="preserve">18</w:t>
            </w:r>
          </w:p>
        </w:tc>
        <w:tc>
          <w:tcPr/>
          <w:p>
            <w:pPr>
              <w:keepNext/>
              <w:pStyle w:val="Compact"/>
              <w:jc w:val="right"/>
            </w:pPr>
            <w:r>
              <w:t xml:space="preserve">0.087</w:t>
            </w:r>
          </w:p>
        </w:tc>
        <w:tc>
          <w:tcPr/>
          <w:p>
            <w:pPr>
              <w:keepNext/>
              <w:pStyle w:val="Compact"/>
              <w:jc w:val="right"/>
            </w:pPr>
            <w:r>
              <w:t xml:space="preserve">0.035</w:t>
            </w:r>
          </w:p>
        </w:tc>
        <w:tc>
          <w:tcPr/>
          <w:p>
            <w:pPr>
              <w:keepNext/>
              <w:pStyle w:val="Compact"/>
            </w:pPr>
            <w:r>
              <w:t xml:space="preserve">0.011 to 0.164</w:t>
            </w:r>
          </w:p>
        </w:tc>
        <w:tc>
          <w:tcPr/>
          <w:p>
            <w:pPr>
              <w:keepNext/>
              <w:pStyle w:val="Compact"/>
              <w:jc w:val="right"/>
            </w:pPr>
            <w:r>
              <w:t xml:space="preserve">0.465</w:t>
            </w:r>
          </w:p>
        </w:tc>
      </w:tr>
      <w:tr>
        <w:trPr>
          <w:cantSplit/>
        </w:trPr>
        <w:tc>
          <w:tcPr/>
          <w:p>
            <w:pPr>
              <w:keepNext/>
              <w:pStyle w:val="Compact"/>
            </w:pPr>
            <w:r>
              <w:t xml:space="preserve">Records with at least 10 eligible selections</w:t>
            </w:r>
          </w:p>
        </w:tc>
        <w:tc>
          <w:tcPr/>
          <w:p>
            <w:pPr>
              <w:keepNext/>
              <w:pStyle w:val="Compact"/>
              <w:jc w:val="right"/>
            </w:pPr>
            <w:r>
              <w:t xml:space="preserve">18</w:t>
            </w:r>
          </w:p>
        </w:tc>
        <w:tc>
          <w:tcPr/>
          <w:p>
            <w:pPr>
              <w:keepNext/>
              <w:pStyle w:val="Compact"/>
              <w:jc w:val="right"/>
            </w:pPr>
            <w:r>
              <w:t xml:space="preserve">0.100</w:t>
            </w:r>
          </w:p>
        </w:tc>
        <w:tc>
          <w:tcPr/>
          <w:p>
            <w:pPr>
              <w:keepNext/>
              <w:pStyle w:val="Compact"/>
              <w:jc w:val="right"/>
            </w:pPr>
            <w:r>
              <w:t xml:space="preserve">0.047</w:t>
            </w:r>
          </w:p>
        </w:tc>
        <w:tc>
          <w:tcPr/>
          <w:p>
            <w:pPr>
              <w:keepNext/>
              <w:pStyle w:val="Compact"/>
            </w:pPr>
            <w:r>
              <w:t xml:space="preserve">-0.002 to 0.203</w:t>
            </w:r>
          </w:p>
        </w:tc>
        <w:tc>
          <w:tcPr/>
          <w:p>
            <w:pPr>
              <w:keepNext/>
              <w:pStyle w:val="Compact"/>
              <w:jc w:val="right"/>
            </w:pPr>
            <w:r>
              <w:t xml:space="preserve">0.560</w:t>
            </w:r>
          </w:p>
        </w:tc>
      </w:tr>
      <w:tr>
        <w:trPr>
          <w:cantSplit/>
        </w:trPr>
        <w:tc>
          <w:tcPr/>
          <w:p>
            <w:pPr>
              <w:keepNext/>
              <w:pStyle w:val="Compact"/>
            </w:pPr>
            <w:r>
              <w:t xml:space="preserve">Cohorts without a documented ALS population</w:t>
            </w:r>
          </w:p>
        </w:tc>
        <w:tc>
          <w:tcPr/>
          <w:p>
            <w:pPr>
              <w:keepNext/>
              <w:pStyle w:val="Compact"/>
              <w:jc w:val="right"/>
            </w:pPr>
            <w:r>
              <w:t xml:space="preserve">14</w:t>
            </w:r>
          </w:p>
        </w:tc>
        <w:tc>
          <w:tcPr/>
          <w:p>
            <w:pPr>
              <w:keepNext/>
              <w:pStyle w:val="Compact"/>
              <w:jc w:val="right"/>
            </w:pPr>
            <w:r>
              <w:t xml:space="preserve">0.101</w:t>
            </w:r>
          </w:p>
        </w:tc>
        <w:tc>
          <w:tcPr/>
          <w:p>
            <w:pPr>
              <w:keepNext/>
              <w:pStyle w:val="Compact"/>
              <w:jc w:val="right"/>
            </w:pPr>
            <w:r>
              <w:t xml:space="preserve">0.052</w:t>
            </w:r>
          </w:p>
        </w:tc>
        <w:tc>
          <w:tcPr/>
          <w:p>
            <w:pPr>
              <w:keepNext/>
              <w:pStyle w:val="Compact"/>
            </w:pPr>
            <w:r>
              <w:t xml:space="preserve">-0.015 to 0.216</w:t>
            </w:r>
          </w:p>
        </w:tc>
        <w:tc>
          <w:tcPr/>
          <w:p>
            <w:pPr>
              <w:keepNext/>
              <w:pStyle w:val="Compact"/>
              <w:jc w:val="right"/>
            </w:pPr>
            <w:r>
              <w:t xml:space="preserve">0.663</w:t>
            </w:r>
          </w:p>
        </w:tc>
      </w:tr>
      <w:tr>
        <w:trPr>
          <w:cantSplit/>
        </w:trPr>
        <w:tc>
          <w:tcPr/>
          <w:p>
            <w:pPr>
              <w:keepNext/>
              <w:pStyle w:val="Compact"/>
            </w:pPr>
            <w:r>
              <w:t xml:space="preserve">ALS cohorts, originally targeted primary subgroup</w:t>
            </w:r>
          </w:p>
        </w:tc>
        <w:tc>
          <w:tcPr/>
          <w:p>
            <w:pPr>
              <w:keepNext/>
              <w:pStyle w:val="Compact"/>
              <w:jc w:val="right"/>
            </w:pPr>
            <w:r>
              <w:t xml:space="preserve">4</w:t>
            </w:r>
          </w:p>
        </w:tc>
        <w:tc>
          <w:tcPr/>
          <w:p>
            <w:pPr>
              <w:keepNext/>
              <w:pStyle w:val="Compact"/>
              <w:jc w:val="right"/>
            </w:pPr>
            <w:r>
              <w:t xml:space="preserve">0.093</w:t>
            </w:r>
          </w:p>
        </w:tc>
        <w:tc>
          <w:tcPr/>
          <w:p>
            <w:pPr>
              <w:keepNext/>
              <w:pStyle w:val="Compact"/>
              <w:jc w:val="right"/>
            </w:pPr>
            <w:r>
              <w:t xml:space="preserve">0.016</w:t>
            </w:r>
          </w:p>
        </w:tc>
        <w:tc>
          <w:tcPr/>
          <w:p>
            <w:pPr>
              <w:keepNext/>
              <w:pStyle w:val="Compact"/>
            </w:pPr>
            <w:r>
              <w:t xml:space="preserve">0.035 to 0.151</w:t>
            </w:r>
          </w:p>
        </w:tc>
        <w:tc>
          <w:tcPr/>
          <w:p>
            <w:pPr>
              <w:keepNext/>
              <w:pStyle w:val="Compact"/>
              <w:jc w:val="right"/>
            </w:pPr>
            <w:r>
              <w:t xml:space="preserve">0.223</w:t>
            </w:r>
          </w:p>
        </w:tc>
      </w:tr>
      <w:tr>
        <w:trPr>
          <w:cantSplit/>
        </w:trP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0.101</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0.1007 against 0.1006, its between-cohort standard deviation 0.0473 against 0.0472,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End w:id="17"/>
    <w:bookmarkStart w:id="18" w:name="Xa38cfe4622a974e14de660f5d1942529a888c8e"/>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476"/>
        <w:gridCol w:w="1310"/>
        <w:gridCol w:w="535"/>
        <w:gridCol w:w="1786"/>
        <w:gridCol w:w="1488"/>
        <w:gridCol w:w="1310"/>
        <w:gridCol w:w="1012"/>
      </w:tblGrid>
      <w:tr>
        <w:trPr>
          <w:cantSplit/>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rPr>
          <w:cantSplit/>
        </w:trP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rPr>
          <w:cantSplit/>
        </w:trP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rPr>
          <w:cantSplit/>
        </w:trP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rPr>
          <w:cantSplit/>
        </w:trP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rPr>
          <w:cantSplit/>
        </w:trP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rPr>
          <w:cantSplit/>
        </w:trP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rPr>
          <w:cantSplit/>
        </w:trP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rPr>
          <w:cantSplit/>
        </w:trP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rPr>
          <w:cantSplit/>
        </w:trP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rPr>
          <w:cantSplit/>
        </w:trP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rPr>
          <w:cantSplit/>
        </w:trP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rPr>
          <w:cantSplit/>
        </w:trP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rPr>
          <w:cantSplit/>
        </w:trP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rPr>
          <w:cantSplit/>
        </w:trP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rPr>
          <w:cantSplit/>
        </w:trP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rPr>
          <w:cantSplit/>
        </w:trP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rPr>
          <w:cantSplit/>
        </w:trP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rPr>
          <w:cantSplit/>
        </w:trP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rPr>
          <w:cantSplit/>
        </w:trP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8"/>
    <w:bookmarkStart w:id="19"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keepNext/>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121"/>
        <w:gridCol w:w="735"/>
        <w:gridCol w:w="315"/>
        <w:gridCol w:w="315"/>
        <w:gridCol w:w="350"/>
        <w:gridCol w:w="385"/>
        <w:gridCol w:w="245"/>
        <w:gridCol w:w="420"/>
        <w:gridCol w:w="665"/>
        <w:gridCol w:w="735"/>
        <w:gridCol w:w="1121"/>
        <w:gridCol w:w="700"/>
        <w:gridCol w:w="806"/>
      </w:tblGrid>
      <w:tr>
        <w:trPr>
          <w:cantSplit/>
          <w:tblHeader w:val="on"/>
        </w:trPr>
        <w:tc>
          <w:tcPr/>
          <w:p>
            <w:pPr>
              <w:keepNext/>
              <w:pStyle w:val="Compact"/>
            </w:pPr>
            <w:r>
              <w:t xml:space="preserve">Predictor</w:t>
            </w:r>
          </w:p>
        </w:tc>
        <w:tc>
          <w:tcPr/>
          <w:p>
            <w:pPr>
              <w:keepNext/>
              <w:pStyle w:val="Compact"/>
            </w:pPr>
            <w:r>
              <w:t xml:space="preserve">Role</w:t>
            </w:r>
          </w:p>
        </w:tc>
        <w:tc>
          <w:tcPr/>
          <w:p>
            <w:pPr>
              <w:keepNext/>
              <w:pStyle w:val="Compact"/>
              <w:jc w:val="right"/>
            </w:pPr>
            <w:r>
              <w:t xml:space="preserve">Cohorts</w:t>
            </w:r>
          </w:p>
        </w:tc>
        <w:tc>
          <w:tcPr/>
          <w:p>
            <w:pPr>
              <w:keepNext/>
              <w:pStyle w:val="Compact"/>
              <w:jc w:val="right"/>
            </w:pPr>
            <w:r>
              <w:t xml:space="preserve">Records</w:t>
            </w:r>
          </w:p>
        </w:tc>
        <w:tc>
          <w:tcPr/>
          <w:p>
            <w:pPr>
              <w:keepNext/>
              <w:pStyle w:val="Compact"/>
              <w:jc w:val="right"/>
            </w:pPr>
            <w:r>
              <w:t xml:space="preserve">Pooled MAE</w:t>
            </w:r>
          </w:p>
        </w:tc>
        <w:tc>
          <w:tcPr/>
          <w:p>
            <w:pPr>
              <w:keepNext/>
              <w:pStyle w:val="Compact"/>
              <w:jc w:val="right"/>
            </w:pPr>
            <w:r>
              <w:t xml:space="preserve">Brier skill</w:t>
            </w:r>
          </w:p>
        </w:tc>
        <w:tc>
          <w:tcPr/>
          <w:p>
            <w:pPr>
              <w:keepNext/>
              <w:pStyle w:val="Compact"/>
              <w:jc w:val="right"/>
            </w:pPr>
            <w:r>
              <w:t xml:space="preserve">AUC</w:t>
            </w:r>
          </w:p>
        </w:tc>
        <w:tc>
          <w:tcPr/>
          <w:p>
            <w:pPr>
              <w:keepNext/>
              <w:pStyle w:val="Compact"/>
              <w:jc w:val="right"/>
            </w:pPr>
            <w:r>
              <w:t xml:space="preserve">Pooled slope</w:t>
            </w:r>
          </w:p>
        </w:tc>
        <w:tc>
          <w:tcPr/>
          <w:p>
            <w:pPr>
              <w:keepNext/>
              <w:pStyle w:val="Compact"/>
              <w:jc w:val="right"/>
            </w:pPr>
            <w:r>
              <w:t xml:space="preserve">Mean across cohorts</w:t>
            </w:r>
          </w:p>
        </w:tc>
        <w:tc>
          <w:tcPr/>
          <w:p>
            <w:pPr>
              <w:keepNext/>
              <w:pStyle w:val="Compact"/>
              <w:jc w:val="right"/>
            </w:pPr>
            <w:r>
              <w:t xml:space="preserve">Between-cohort MAE SD</w:t>
            </w:r>
          </w:p>
        </w:tc>
        <w:tc>
          <w:tcPr/>
          <w:p>
            <w:pPr>
              <w:keepNext/>
              <w:pStyle w:val="Compact"/>
            </w:pPr>
            <w:r>
              <w:t xml:space="preserve">Interval for an unrepresented cohort</w:t>
            </w:r>
          </w:p>
        </w:tc>
        <w:tc>
          <w:tcPr/>
          <w:p>
            <w:pPr>
              <w:keepNext/>
              <w:pStyle w:val="Compact"/>
              <w:jc w:val="right"/>
            </w:pPr>
            <w:r>
              <w:t xml:space="preserve">Calibration-slope SD</w:t>
            </w:r>
          </w:p>
        </w:tc>
        <w:tc>
          <w:tcPr/>
          <w:p>
            <w:pPr>
              <w:keepNext/>
              <w:pStyle w:val="Compact"/>
            </w:pPr>
            <w:r>
              <w:t xml:space="preserve">Calibration-slope range</w:t>
            </w:r>
          </w:p>
        </w:tc>
      </w:tr>
      <w:tr>
        <w:trPr>
          <w:cantSplit/>
        </w:trPr>
        <w:tc>
          <w:tcPr/>
          <w:p>
            <w:pPr>
              <w:keepNext/>
              <w:pStyle w:val="Compact"/>
            </w:pPr>
            <w:r>
              <w:t xml:space="preserve">Calibration-derived decoder discriminability</w:t>
            </w:r>
          </w:p>
        </w:tc>
        <w:tc>
          <w:tcPr/>
          <w:p>
            <w:pPr>
              <w:keepNext/>
              <w:pStyle w:val="Compact"/>
            </w:pPr>
            <w:r>
              <w:t xml:space="preserve">Primary</w:t>
            </w:r>
          </w:p>
        </w:tc>
        <w:tc>
          <w:tcPr/>
          <w:p>
            <w:pPr>
              <w:keepNext/>
              <w:pStyle w:val="Compact"/>
              <w:jc w:val="right"/>
            </w:pPr>
            <w:r>
              <w:t xml:space="preserve">18</w:t>
            </w:r>
          </w:p>
        </w:tc>
        <w:tc>
          <w:tcPr/>
          <w:p>
            <w:pPr>
              <w:keepNext/>
              <w:pStyle w:val="Compact"/>
              <w:jc w:val="right"/>
            </w:pPr>
            <w:r>
              <w:t xml:space="preserve">739</w:t>
            </w:r>
          </w:p>
        </w:tc>
        <w:tc>
          <w:tcPr/>
          <w:p>
            <w:pPr>
              <w:keepNext/>
              <w:pStyle w:val="Compact"/>
              <w:jc w:val="right"/>
            </w:pPr>
            <w:r>
              <w:t xml:space="preserve">0.098</w:t>
            </w:r>
          </w:p>
        </w:tc>
        <w:tc>
          <w:tcPr/>
          <w:p>
            <w:pPr>
              <w:keepNext/>
              <w:pStyle w:val="Compact"/>
              <w:jc w:val="right"/>
            </w:pPr>
            <w:r>
              <w:t xml:space="preserve">0.110</w:t>
            </w:r>
          </w:p>
        </w:tc>
        <w:tc>
          <w:tcPr/>
          <w:p>
            <w:pPr>
              <w:keepNext/>
              <w:pStyle w:val="Compact"/>
              <w:jc w:val="right"/>
            </w:pPr>
            <w:r>
              <w:t xml:space="preserve">0.748</w:t>
            </w:r>
          </w:p>
        </w:tc>
        <w:tc>
          <w:tcPr/>
          <w:p>
            <w:pPr>
              <w:keepNext/>
              <w:pStyle w:val="Compact"/>
              <w:jc w:val="right"/>
            </w:pPr>
            <w:r>
              <w:t xml:space="preserve">0.967</w:t>
            </w:r>
          </w:p>
        </w:tc>
        <w:tc>
          <w:tcPr/>
          <w:p>
            <w:pPr>
              <w:keepNext/>
              <w:pStyle w:val="Compact"/>
              <w:jc w:val="right"/>
            </w:pPr>
            <w:r>
              <w:t xml:space="preserve">0.101</w:t>
            </w:r>
          </w:p>
        </w:tc>
        <w:tc>
          <w:tcPr/>
          <w:p>
            <w:pPr>
              <w:keepNext/>
              <w:pStyle w:val="Compact"/>
              <w:jc w:val="right"/>
            </w:pPr>
            <w:r>
              <w:t xml:space="preserve">0.047</w:t>
            </w:r>
          </w:p>
        </w:tc>
        <w:tc>
          <w:tcPr/>
          <w:p>
            <w:pPr>
              <w:keepNext/>
              <w:pStyle w:val="Compact"/>
            </w:pPr>
            <w:r>
              <w:t xml:space="preserve">-0.002 to 0.203</w:t>
            </w:r>
          </w:p>
        </w:tc>
        <w:tc>
          <w:tcPr/>
          <w:p>
            <w:pPr>
              <w:keepNext/>
              <w:pStyle w:val="Compact"/>
              <w:jc w:val="right"/>
            </w:pPr>
            <w:r>
              <w:t xml:space="preserve">0.560</w:t>
            </w:r>
          </w:p>
        </w:tc>
        <w:tc>
          <w:tcPr/>
          <w:p>
            <w:pPr>
              <w:keepNext/>
              <w:pStyle w:val="Compact"/>
            </w:pPr>
            <w:r>
              <w:t xml:space="preserve">0.185 to 2.185</w:t>
            </w:r>
          </w:p>
        </w:tc>
      </w:tr>
      <w:tr>
        <w:trPr>
          <w:cantSplit/>
        </w:trPr>
        <w:tc>
          <w:tcPr/>
          <w:p>
            <w:pPr>
              <w:keepNext/>
              <w:pStyle w:val="Compact"/>
            </w:pPr>
            <w:r>
              <w:t xml:space="preserve">Shrinkage linear discriminant AUC</w:t>
            </w:r>
          </w:p>
        </w:tc>
        <w:tc>
          <w:tcPr/>
          <w:p>
            <w:pPr>
              <w:keepNext/>
              <w:pStyle w:val="Compact"/>
            </w:pPr>
            <w:r>
              <w:t xml:space="preserve">Comparator</w:t>
            </w:r>
          </w:p>
        </w:tc>
        <w:tc>
          <w:tcPr/>
          <w:p>
            <w:pPr>
              <w:keepNext/>
              <w:pStyle w:val="Compact"/>
              <w:jc w:val="right"/>
            </w:pPr>
            <w:r>
              <w:t xml:space="preserve">18</w:t>
            </w:r>
          </w:p>
        </w:tc>
        <w:tc>
          <w:tcPr/>
          <w:p>
            <w:pPr>
              <w:keepNext/>
              <w:pStyle w:val="Compact"/>
              <w:jc w:val="right"/>
            </w:pPr>
            <w:r>
              <w:t xml:space="preserve">739</w:t>
            </w:r>
          </w:p>
        </w:tc>
        <w:tc>
          <w:tcPr/>
          <w:p>
            <w:pPr>
              <w:keepNext/>
              <w:pStyle w:val="Compact"/>
              <w:jc w:val="right"/>
            </w:pPr>
            <w:r>
              <w:t xml:space="preserve">0.100</w:t>
            </w:r>
          </w:p>
        </w:tc>
        <w:tc>
          <w:tcPr/>
          <w:p>
            <w:pPr>
              <w:keepNext/>
              <w:pStyle w:val="Compact"/>
              <w:jc w:val="right"/>
            </w:pPr>
            <w:r>
              <w:t xml:space="preserve">0.105</w:t>
            </w:r>
          </w:p>
        </w:tc>
        <w:tc>
          <w:tcPr/>
          <w:p>
            <w:pPr>
              <w:keepNext/>
              <w:pStyle w:val="Compact"/>
              <w:jc w:val="right"/>
            </w:pPr>
            <w:r>
              <w:t xml:space="preserve">0.745</w:t>
            </w:r>
          </w:p>
        </w:tc>
        <w:tc>
          <w:tcPr/>
          <w:p>
            <w:pPr>
              <w:keepNext/>
              <w:pStyle w:val="Compact"/>
              <w:jc w:val="right"/>
            </w:pPr>
            <w:r>
              <w:t xml:space="preserve">0.960</w:t>
            </w:r>
          </w:p>
        </w:tc>
        <w:tc>
          <w:tcPr/>
          <w:p>
            <w:pPr>
              <w:keepNext/>
              <w:pStyle w:val="Compact"/>
              <w:jc w:val="right"/>
            </w:pPr>
            <w:r>
              <w:t xml:space="preserve">0.102</w:t>
            </w:r>
          </w:p>
        </w:tc>
        <w:tc>
          <w:tcPr/>
          <w:p>
            <w:pPr>
              <w:keepNext/>
              <w:pStyle w:val="Compact"/>
              <w:jc w:val="right"/>
            </w:pPr>
            <w:r>
              <w:t xml:space="preserve">0.046</w:t>
            </w:r>
          </w:p>
        </w:tc>
        <w:tc>
          <w:tcPr/>
          <w:p>
            <w:pPr>
              <w:keepNext/>
              <w:pStyle w:val="Compact"/>
            </w:pPr>
            <w:r>
              <w:t xml:space="preserve">0.001 to 0.202</w:t>
            </w:r>
          </w:p>
        </w:tc>
        <w:tc>
          <w:tcPr/>
          <w:p>
            <w:pPr>
              <w:keepNext/>
              <w:pStyle w:val="Compact"/>
              <w:jc w:val="right"/>
            </w:pPr>
            <w:r>
              <w:t xml:space="preserve">0.562</w:t>
            </w:r>
          </w:p>
        </w:tc>
        <w:tc>
          <w:tcPr/>
          <w:p>
            <w:pPr>
              <w:keepNext/>
              <w:pStyle w:val="Compact"/>
            </w:pPr>
            <w:r>
              <w:t xml:space="preserve">0.112 to 2.077</w:t>
            </w:r>
          </w:p>
        </w:tc>
      </w:tr>
      <w:tr>
        <w:trPr>
          <w:cantSplit/>
        </w:trPr>
        <w:tc>
          <w:tcPr/>
          <w:p>
            <w:pPr>
              <w:keepNext/>
              <w:pStyle w:val="Compact"/>
            </w:pPr>
            <w:r>
              <w:t xml:space="preserve">Calibration classification accuracy</w:t>
            </w:r>
          </w:p>
        </w:tc>
        <w:tc>
          <w:tcPr/>
          <w:p>
            <w:pPr>
              <w:keepNext/>
              <w:pStyle w:val="Compact"/>
            </w:pPr>
            <w:r>
              <w:t xml:space="preserve">Comparator</w:t>
            </w:r>
          </w:p>
        </w:tc>
        <w:tc>
          <w:tcPr/>
          <w:p>
            <w:pPr>
              <w:keepNext/>
              <w:pStyle w:val="Compact"/>
              <w:jc w:val="right"/>
            </w:pPr>
            <w:r>
              <w:t xml:space="preserve">18</w:t>
            </w:r>
          </w:p>
        </w:tc>
        <w:tc>
          <w:tcPr/>
          <w:p>
            <w:pPr>
              <w:keepNext/>
              <w:pStyle w:val="Compact"/>
              <w:jc w:val="right"/>
            </w:pPr>
            <w:r>
              <w:t xml:space="preserve">739</w:t>
            </w:r>
          </w:p>
        </w:tc>
        <w:tc>
          <w:tcPr/>
          <w:p>
            <w:pPr>
              <w:keepNext/>
              <w:pStyle w:val="Compact"/>
              <w:jc w:val="right"/>
            </w:pPr>
            <w:r>
              <w:t xml:space="preserve">0.106</w:t>
            </w:r>
          </w:p>
        </w:tc>
        <w:tc>
          <w:tcPr/>
          <w:p>
            <w:pPr>
              <w:keepNext/>
              <w:pStyle w:val="Compact"/>
              <w:jc w:val="right"/>
            </w:pPr>
            <w:r>
              <w:t xml:space="preserve">0.105</w:t>
            </w:r>
          </w:p>
        </w:tc>
        <w:tc>
          <w:tcPr/>
          <w:p>
            <w:pPr>
              <w:keepNext/>
              <w:pStyle w:val="Compact"/>
              <w:jc w:val="right"/>
            </w:pPr>
            <w:r>
              <w:t xml:space="preserve">0.734</w:t>
            </w:r>
          </w:p>
        </w:tc>
        <w:tc>
          <w:tcPr/>
          <w:p>
            <w:pPr>
              <w:keepNext/>
              <w:pStyle w:val="Compact"/>
              <w:jc w:val="right"/>
            </w:pPr>
            <w:r>
              <w:t xml:space="preserve">0.930</w:t>
            </w:r>
          </w:p>
        </w:tc>
        <w:tc>
          <w:tcPr/>
          <w:p>
            <w:pPr>
              <w:keepNext/>
              <w:pStyle w:val="Compact"/>
              <w:jc w:val="right"/>
            </w:pPr>
            <w:r>
              <w:t xml:space="preserve">0.107</w:t>
            </w:r>
          </w:p>
        </w:tc>
        <w:tc>
          <w:tcPr/>
          <w:p>
            <w:pPr>
              <w:keepNext/>
              <w:pStyle w:val="Compact"/>
              <w:jc w:val="right"/>
            </w:pPr>
            <w:r>
              <w:t xml:space="preserve">0.047</w:t>
            </w:r>
          </w:p>
        </w:tc>
        <w:tc>
          <w:tcPr/>
          <w:p>
            <w:pPr>
              <w:keepNext/>
              <w:pStyle w:val="Compact"/>
            </w:pPr>
            <w:r>
              <w:t xml:space="preserve">0.006 to 0.208</w:t>
            </w:r>
          </w:p>
        </w:tc>
        <w:tc>
          <w:tcPr/>
          <w:p>
            <w:pPr>
              <w:keepNext/>
              <w:pStyle w:val="Compact"/>
              <w:jc w:val="right"/>
            </w:pPr>
            <w:r>
              <w:t xml:space="preserve">1.104</w:t>
            </w:r>
          </w:p>
        </w:tc>
        <w:tc>
          <w:tcPr/>
          <w:p>
            <w:pPr>
              <w:keepNext/>
              <w:pStyle w:val="Compact"/>
            </w:pPr>
            <w:r>
              <w:t xml:space="preserve">0.051 to 4.018</w:t>
            </w:r>
          </w:p>
        </w:tc>
      </w:tr>
      <w:tr>
        <w:trPr>
          <w:cantSplit/>
        </w:trPr>
        <w:tc>
          <w:tcPr/>
          <w:p>
            <w:pPr>
              <w:keepNext/>
              <w:pStyle w:val="Compact"/>
            </w:pPr>
            <w:r>
              <w:t xml:space="preserve">Maximum posterior signed r-squared</w:t>
            </w:r>
          </w:p>
        </w:tc>
        <w:tc>
          <w:tcPr/>
          <w:p>
            <w:pPr>
              <w:keepNext/>
              <w:pStyle w:val="Compact"/>
            </w:pPr>
            <w:r>
              <w:t xml:space="preserve">Comparator</w:t>
            </w:r>
          </w:p>
        </w:tc>
        <w:tc>
          <w:tcPr/>
          <w:p>
            <w:pPr>
              <w:keepNext/>
              <w:pStyle w:val="Compact"/>
              <w:jc w:val="right"/>
            </w:pPr>
            <w:r>
              <w:t xml:space="preserve">18</w:t>
            </w:r>
          </w:p>
        </w:tc>
        <w:tc>
          <w:tcPr/>
          <w:p>
            <w:pPr>
              <w:keepNext/>
              <w:pStyle w:val="Compact"/>
              <w:jc w:val="right"/>
            </w:pPr>
            <w:r>
              <w:t xml:space="preserve">739</w:t>
            </w:r>
          </w:p>
        </w:tc>
        <w:tc>
          <w:tcPr/>
          <w:p>
            <w:pPr>
              <w:keepNext/>
              <w:pStyle w:val="Compact"/>
              <w:jc w:val="right"/>
            </w:pPr>
            <w:r>
              <w:t xml:space="preserve">0.134</w:t>
            </w:r>
          </w:p>
        </w:tc>
        <w:tc>
          <w:tcPr/>
          <w:p>
            <w:pPr>
              <w:keepNext/>
              <w:pStyle w:val="Compact"/>
              <w:jc w:val="right"/>
            </w:pPr>
            <w:r>
              <w:t xml:space="preserve">0.037</w:t>
            </w:r>
          </w:p>
        </w:tc>
        <w:tc>
          <w:tcPr/>
          <w:p>
            <w:pPr>
              <w:keepNext/>
              <w:pStyle w:val="Compact"/>
              <w:jc w:val="right"/>
            </w:pPr>
            <w:r>
              <w:t xml:space="preserve">0.656</w:t>
            </w:r>
          </w:p>
        </w:tc>
        <w:tc>
          <w:tcPr/>
          <w:p>
            <w:pPr>
              <w:keepNext/>
              <w:pStyle w:val="Compact"/>
              <w:jc w:val="right"/>
            </w:pPr>
            <w:r>
              <w:t xml:space="preserve">0.643</w:t>
            </w:r>
          </w:p>
        </w:tc>
        <w:tc>
          <w:tcPr/>
          <w:p>
            <w:pPr>
              <w:keepNext/>
              <w:pStyle w:val="Compact"/>
              <w:jc w:val="right"/>
            </w:pPr>
            <w:r>
              <w:t xml:space="preserve">0.135</w:t>
            </w:r>
          </w:p>
        </w:tc>
        <w:tc>
          <w:tcPr/>
          <w:p>
            <w:pPr>
              <w:keepNext/>
              <w:pStyle w:val="Compact"/>
              <w:jc w:val="right"/>
            </w:pPr>
            <w:r>
              <w:t xml:space="preserve">0.041</w:t>
            </w:r>
          </w:p>
        </w:tc>
        <w:tc>
          <w:tcPr/>
          <w:p>
            <w:pPr>
              <w:keepNext/>
              <w:pStyle w:val="Compact"/>
            </w:pPr>
            <w:r>
              <w:t xml:space="preserve">0.045 to 0.225</w:t>
            </w:r>
          </w:p>
        </w:tc>
        <w:tc>
          <w:tcPr/>
          <w:p>
            <w:pPr>
              <w:keepNext/>
              <w:pStyle w:val="Compact"/>
              <w:jc w:val="right"/>
            </w:pPr>
            <w:r>
              <w:t xml:space="preserve">2.209</w:t>
            </w:r>
          </w:p>
        </w:tc>
        <w:tc>
          <w:tcPr/>
          <w:p>
            <w:pPr>
              <w:keepNext/>
              <w:pStyle w:val="Compact"/>
            </w:pPr>
            <w:r>
              <w:t xml:space="preserve">-0.467 to 7.297</w:t>
            </w:r>
          </w:p>
        </w:tc>
      </w:tr>
      <w:tr>
        <w:trPr>
          <w:cantSplit/>
        </w:trPr>
        <w:tc>
          <w:tcPr/>
          <w:p>
            <w:pPr>
              <w:keepNext/>
              <w:pStyle w:val="Compact"/>
            </w:pPr>
            <w:r>
              <w:t xml:space="preserve">Posterior target-minus-non-target amplitude</w:t>
            </w:r>
          </w:p>
        </w:tc>
        <w:tc>
          <w:tcPr/>
          <w:p>
            <w:pPr>
              <w:keepNext/>
              <w:pStyle w:val="Compact"/>
            </w:pPr>
            <w:r>
              <w:t xml:space="preserve">Comparator</w:t>
            </w:r>
          </w:p>
        </w:tc>
        <w:tc>
          <w:tcPr/>
          <w:p>
            <w:pPr>
              <w:keepNext/>
              <w:pStyle w:val="Compact"/>
              <w:jc w:val="right"/>
            </w:pPr>
            <w:r>
              <w:t xml:space="preserve">18</w:t>
            </w:r>
          </w:p>
        </w:tc>
        <w:tc>
          <w:tcPr/>
          <w:p>
            <w:pPr>
              <w:keepNext/>
              <w:pStyle w:val="Compact"/>
              <w:jc w:val="right"/>
            </w:pPr>
            <w:r>
              <w:t xml:space="preserve">739</w:t>
            </w:r>
          </w:p>
        </w:tc>
        <w:tc>
          <w:tcPr/>
          <w:p>
            <w:pPr>
              <w:keepNext/>
              <w:pStyle w:val="Compact"/>
              <w:jc w:val="right"/>
            </w:pPr>
            <w:r>
              <w:t xml:space="preserve">0.148</w:t>
            </w:r>
          </w:p>
        </w:tc>
        <w:tc>
          <w:tcPr/>
          <w:p>
            <w:pPr>
              <w:keepNext/>
              <w:pStyle w:val="Compact"/>
              <w:jc w:val="right"/>
            </w:pPr>
            <w:r>
              <w:t xml:space="preserve">0.003</w:t>
            </w:r>
          </w:p>
        </w:tc>
        <w:tc>
          <w:tcPr/>
          <w:p>
            <w:pPr>
              <w:keepNext/>
              <w:pStyle w:val="Compact"/>
              <w:jc w:val="right"/>
            </w:pPr>
            <w:r>
              <w:t xml:space="preserve">0.517</w:t>
            </w:r>
          </w:p>
        </w:tc>
        <w:tc>
          <w:tcPr/>
          <w:p>
            <w:pPr>
              <w:keepNext/>
              <w:pStyle w:val="Compact"/>
              <w:jc w:val="right"/>
            </w:pPr>
            <w:r>
              <w:t xml:space="preserve">0.275</w:t>
            </w:r>
          </w:p>
        </w:tc>
        <w:tc>
          <w:tcPr/>
          <w:p>
            <w:pPr>
              <w:keepNext/>
              <w:pStyle w:val="Compact"/>
              <w:jc w:val="right"/>
            </w:pPr>
            <w:r>
              <w:t xml:space="preserve">0.149</w:t>
            </w:r>
          </w:p>
        </w:tc>
        <w:tc>
          <w:tcPr/>
          <w:p>
            <w:pPr>
              <w:keepNext/>
              <w:pStyle w:val="Compact"/>
              <w:jc w:val="right"/>
            </w:pPr>
            <w:r>
              <w:t xml:space="preserve">0.040</w:t>
            </w:r>
          </w:p>
        </w:tc>
        <w:tc>
          <w:tcPr/>
          <w:p>
            <w:pPr>
              <w:keepNext/>
              <w:pStyle w:val="Compact"/>
            </w:pPr>
            <w:r>
              <w:t xml:space="preserve">0.061 to 0.236</w:t>
            </w:r>
          </w:p>
        </w:tc>
        <w:tc>
          <w:tcPr/>
          <w:p>
            <w:pPr>
              <w:keepNext/>
              <w:pStyle w:val="Compact"/>
              <w:jc w:val="right"/>
            </w:pPr>
            <w:r>
              <w:t xml:space="preserve">2.459</w:t>
            </w:r>
          </w:p>
        </w:tc>
        <w:tc>
          <w:tcPr/>
          <w:p>
            <w:pPr>
              <w:keepNext/>
              <w:pStyle w:val="Compact"/>
            </w:pPr>
            <w:r>
              <w:t xml:space="preserve">-4.745 to 6.387</w:t>
            </w:r>
          </w:p>
        </w:tc>
      </w:tr>
      <w:tr>
        <w:trPr>
          <w:cantSplit/>
        </w:trPr>
        <w:tc>
          <w:tcPr/>
          <w:p>
            <w:pPr>
              <w:keepNext/>
              <w:pStyle w:val="Compact"/>
            </w:pPr>
            <w:r>
              <w:t xml:space="preserve">Pz target-minus-non-target amplitude</w:t>
            </w:r>
          </w:p>
        </w:tc>
        <w:tc>
          <w:tcPr/>
          <w:p>
            <w:pPr>
              <w:keepNext/>
              <w:pStyle w:val="Compact"/>
            </w:pPr>
            <w:r>
              <w:t xml:space="preserve">Comparator</w:t>
            </w:r>
          </w:p>
        </w:tc>
        <w:tc>
          <w:tcPr/>
          <w:p>
            <w:pPr>
              <w:keepNext/>
              <w:pStyle w:val="Compact"/>
              <w:jc w:val="right"/>
            </w:pPr>
            <w:r>
              <w:t xml:space="preserve">18</w:t>
            </w:r>
          </w:p>
        </w:tc>
        <w:tc>
          <w:tcPr/>
          <w:p>
            <w:pPr>
              <w:keepNext/>
              <w:pStyle w:val="Compact"/>
              <w:jc w:val="right"/>
            </w:pPr>
            <w:r>
              <w:t xml:space="preserve">739</w:t>
            </w:r>
          </w:p>
        </w:tc>
        <w:tc>
          <w:tcPr/>
          <w:p>
            <w:pPr>
              <w:keepNext/>
              <w:pStyle w:val="Compact"/>
              <w:jc w:val="right"/>
            </w:pPr>
            <w:r>
              <w:t xml:space="preserve">0.150</w:t>
            </w:r>
          </w:p>
        </w:tc>
        <w:tc>
          <w:tcPr/>
          <w:p>
            <w:pPr>
              <w:keepNext/>
              <w:pStyle w:val="Compact"/>
              <w:jc w:val="right"/>
            </w:pPr>
            <w:r>
              <w:t xml:space="preserve">0.001</w:t>
            </w:r>
          </w:p>
        </w:tc>
        <w:tc>
          <w:tcPr/>
          <w:p>
            <w:pPr>
              <w:keepNext/>
              <w:pStyle w:val="Compact"/>
              <w:jc w:val="right"/>
            </w:pPr>
            <w:r>
              <w:t xml:space="preserve">0.465</w:t>
            </w:r>
          </w:p>
        </w:tc>
        <w:tc>
          <w:tcPr/>
          <w:p>
            <w:pPr>
              <w:keepNext/>
              <w:pStyle w:val="Compact"/>
              <w:jc w:val="right"/>
            </w:pPr>
            <w:r>
              <w:t xml:space="preserve">-0.238</w:t>
            </w:r>
          </w:p>
        </w:tc>
        <w:tc>
          <w:tcPr/>
          <w:p>
            <w:pPr>
              <w:keepNext/>
              <w:pStyle w:val="Compact"/>
              <w:jc w:val="right"/>
            </w:pPr>
            <w:r>
              <w:t xml:space="preserve">0.150</w:t>
            </w:r>
          </w:p>
        </w:tc>
        <w:tc>
          <w:tcPr/>
          <w:p>
            <w:pPr>
              <w:keepNext/>
              <w:pStyle w:val="Compact"/>
              <w:jc w:val="right"/>
            </w:pPr>
            <w:r>
              <w:t xml:space="preserve">0.040</w:t>
            </w:r>
          </w:p>
        </w:tc>
        <w:tc>
          <w:tcPr/>
          <w:p>
            <w:pPr>
              <w:keepNext/>
              <w:pStyle w:val="Compact"/>
            </w:pPr>
            <w:r>
              <w:t xml:space="preserve">0.063 to 0.238</w:t>
            </w:r>
          </w:p>
        </w:tc>
        <w:tc>
          <w:tcPr/>
          <w:p>
            <w:pPr>
              <w:keepNext/>
              <w:pStyle w:val="Compact"/>
              <w:jc w:val="right"/>
            </w:pPr>
            <w:r>
              <w:t xml:space="preserve">4.490</w:t>
            </w:r>
          </w:p>
        </w:tc>
        <w:tc>
          <w:tcPr/>
          <w:p>
            <w:pPr>
              <w:keepNext/>
              <w:pStyle w:val="Compact"/>
            </w:pPr>
            <w:r>
              <w:t xml:space="preserve">-8.235 to 9.007</w:t>
            </w:r>
          </w:p>
        </w:tc>
      </w:tr>
      <w:tr>
        <w:trPr>
          <w:cantSplit/>
        </w:trPr>
        <w:tc>
          <w:tcPr/>
          <w:p>
            <w:pPr>
              <w:keepNext/>
              <w:pStyle w:val="Compact"/>
            </w:pPr>
            <w:r>
              <w:t xml:space="preserve">Primary score plus ALSFRS-R</w:t>
            </w:r>
          </w:p>
        </w:tc>
        <w:tc>
          <w:tcPr/>
          <w:p>
            <w:pPr>
              <w:keepNext/>
              <w:pStyle w:val="Compact"/>
            </w:pPr>
            <w:r>
              <w:t xml:space="preserve">Exploratory</w:t>
            </w:r>
          </w:p>
        </w:tc>
        <w:tc>
          <w:tcPr/>
          <w:p>
            <w:pPr>
              <w:keepNext/>
              <w:pStyle w:val="Compact"/>
              <w:jc w:val="right"/>
            </w:pPr>
            <w:r>
              <w:t xml:space="preserve">3</w:t>
            </w:r>
          </w:p>
        </w:tc>
        <w:tc>
          <w:tcPr/>
          <w:p>
            <w:pPr>
              <w:keepNext/>
              <w:pStyle w:val="Compact"/>
              <w:jc w:val="right"/>
            </w:pPr>
            <w:r>
              <w:t xml:space="preserve">138</w:t>
            </w:r>
          </w:p>
        </w:tc>
        <w:tc>
          <w:tcPr/>
          <w:p>
            <w:pPr>
              <w:keepNext/>
              <w:pStyle w:val="Compact"/>
              <w:jc w:val="right"/>
            </w:pPr>
            <w:r>
              <w:t xml:space="preserve">0.085</w:t>
            </w:r>
          </w:p>
        </w:tc>
        <w:tc>
          <w:tcPr/>
          <w:p>
            <w:pPr>
              <w:keepNext/>
              <w:pStyle w:val="Compact"/>
              <w:jc w:val="right"/>
            </w:pPr>
            <w:r>
              <w:t xml:space="preserve">0.313</w:t>
            </w:r>
          </w:p>
        </w:tc>
        <w:tc>
          <w:tcPr/>
          <w:p>
            <w:pPr>
              <w:keepNext/>
              <w:pStyle w:val="Compact"/>
              <w:jc w:val="right"/>
            </w:pPr>
            <w:r>
              <w:t xml:space="preserve">0.834</w:t>
            </w:r>
          </w:p>
        </w:tc>
        <w:tc>
          <w:tcPr/>
          <w:p>
            <w:pPr>
              <w:keepNext/>
              <w:pStyle w:val="Compact"/>
              <w:jc w:val="right"/>
            </w:pPr>
            <w:r>
              <w:t xml:space="preserve">0.982</w:t>
            </w:r>
          </w:p>
        </w:tc>
        <w:tc>
          <w:tcPr/>
          <w:p>
            <w:pPr>
              <w:keepNext/>
              <w:pStyle w:val="Compact"/>
              <w:jc w:val="right"/>
            </w:pPr>
            <w:r>
              <w:t xml:space="preserve">0.090</w:t>
            </w:r>
          </w:p>
        </w:tc>
        <w:tc>
          <w:tcPr/>
          <w:p>
            <w:pPr>
              <w:keepNext/>
              <w:pStyle w:val="Compact"/>
              <w:jc w:val="right"/>
            </w:pPr>
            <w:r>
              <w:t xml:space="preserve">0.009</w:t>
            </w:r>
          </w:p>
        </w:tc>
        <w:tc>
          <w:tcPr/>
          <w:p>
            <w:pPr>
              <w:keepNext/>
              <w:pStyle w:val="Compact"/>
            </w:pPr>
            <w:r>
              <w:t xml:space="preserve">0.046 to 0.133</w:t>
            </w:r>
          </w:p>
        </w:tc>
        <w:tc>
          <w:tcPr/>
          <w:p>
            <w:pPr>
              <w:keepNext/>
              <w:pStyle w:val="Compact"/>
              <w:jc w:val="right"/>
            </w:pPr>
            <w:r>
              <w:t xml:space="preserve">0.293</w:t>
            </w:r>
          </w:p>
        </w:tc>
        <w:tc>
          <w:tcPr/>
          <w:p>
            <w:pPr>
              <w:keepNext/>
              <w:pStyle w:val="Compact"/>
            </w:pPr>
            <w:r>
              <w:t xml:space="preserve">0.771 to 1.336</w:t>
            </w:r>
          </w:p>
        </w:tc>
      </w:tr>
      <w:tr>
        <w:trPr>
          <w:cantSplit/>
        </w:trP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0.090</w:t>
            </w:r>
          </w:p>
        </w:tc>
        <w:tc>
          <w:tcPr/>
          <w:p>
            <w:pPr>
              <w:pStyle w:val="Compact"/>
              <w:jc w:val="right"/>
            </w:pPr>
            <w:r>
              <w:t xml:space="preserve">0.010</w:t>
            </w:r>
          </w:p>
        </w:tc>
        <w:tc>
          <w:tcPr/>
          <w:p>
            <w:pPr>
              <w:pStyle w:val="Compact"/>
            </w:pPr>
            <w:r>
              <w:t xml:space="preserve">0.038 to 0.142</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every summary column, the largest gap being the pooled calibration slope at 0.960 against 0.967 and the between-cohort spread of that slope at 0.562 against 0.560. The per-cohort slope range is the one column where they separate, 0.112 to 2.077 against 0.185 to 2.185.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19"/>
    <w:bookmarkStart w:id="20" w:name="Xa85732435e5d406fab90de6f5dd53100aecca3c"/>
    <w:p>
      <w:pPr>
        <w:pStyle w:val="Heading2"/>
      </w:pPr>
      <w:r>
        <w:t xml:space="preserve">S9. Predictor reliability and disattenuated heterogeneity</w:t>
      </w:r>
    </w:p>
    <w:p>
      <w:pPr>
        <w:pStyle w:val="FirstParagraph"/>
      </w:pPr>
      <w:r>
        <w:t xml:space="preserve">The calibration score is not measured equally well in every cohort. Sessions differ several-fold in calibration files, cross-validation folds and surviving epochs, and the standard error of the score itself ranges from 0.008 to 0.031 across cohorts, a fourfold spread, tabulated per cohort in</w:t>
      </w:r>
      <w:r>
        <w:t xml:space="preserve"> </w:t>
      </w:r>
      <w:r>
        <w:rPr>
          <w:rStyle w:val="VerbatimChar"/>
        </w:rPr>
        <w:t xml:space="preserve">predictor_precision.csv</w:t>
      </w:r>
      <w:r>
        <w:t xml:space="preserve">.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990"/>
        <w:gridCol w:w="1237"/>
        <w:gridCol w:w="1608"/>
        <w:gridCol w:w="1732"/>
        <w:gridCol w:w="2351"/>
      </w:tblGrid>
      <w:tr>
        <w:trPr>
          <w:cantSplit/>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rPr>
          <w:cantSplit/>
        </w:trP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rPr>
          <w:cantSplit/>
        </w:trP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rPr>
          <w:cantSplit/>
        </w:trP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rPr>
          <w:cantSplit/>
        </w:trP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rPr>
          <w:cantSplit/>
        </w:trP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rPr>
          <w:cantSplit/>
        </w:trP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rPr>
          <w:cantSplit/>
        </w:trP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rPr>
          <w:cantSplit/>
        </w:trP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rPr>
          <w:cantSplit/>
        </w:trP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rPr>
          <w:cantSplit/>
        </w:trP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rPr>
          <w:cantSplit/>
        </w:trP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rPr>
          <w:cantSplit/>
        </w:trP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rPr>
          <w:cantSplit/>
        </w:trP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rPr>
          <w:cantSplit/>
        </w:trP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rPr>
          <w:cantSplit/>
        </w:trP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rPr>
          <w:cantSplit/>
        </w:trP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rPr>
          <w:cantSplit/>
        </w:trP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rPr>
          <w:cantSplit/>
        </w:trP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w:t>
      </w:r>
      <w:r>
        <w:rPr>
          <w:vertAlign w:val="superscript"/>
        </w:rPr>
        <w:t xml:space="preserve">-9 against p = 2.3 x 10</w:t>
      </w:r>
      <w:r>
        <w:t xml:space="preserve">-10.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keepNext/>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2816"/>
        <w:gridCol w:w="2200"/>
        <w:gridCol w:w="616"/>
        <w:gridCol w:w="792"/>
        <w:gridCol w:w="528"/>
        <w:gridCol w:w="968"/>
      </w:tblGrid>
      <w:tr>
        <w:trPr>
          <w:cantSplit/>
          <w:tblHeader w:val="on"/>
        </w:trPr>
        <w:tc>
          <w:tcPr/>
          <w:p>
            <w:pPr>
              <w:keepNext/>
              <w:pStyle w:val="Compact"/>
              <w:jc w:val="right"/>
            </w:pPr>
            <w:r>
              <w:t xml:space="preserve">Assumed error variance, multiple of nominal</w:t>
            </w:r>
          </w:p>
        </w:tc>
        <w:tc>
          <w:tcPr/>
          <w:p>
            <w:pPr>
              <w:keepNext/>
              <w:pStyle w:val="Compact"/>
              <w:jc w:val="right"/>
            </w:pPr>
            <w:r>
              <w:t xml:space="preserve">Lowest cohort reliability</w:t>
            </w:r>
          </w:p>
        </w:tc>
        <w:tc>
          <w:tcPr/>
          <w:p>
            <w:pPr>
              <w:keepNext/>
              <w:pStyle w:val="Compact"/>
              <w:jc w:val="right"/>
            </w:pPr>
            <w:r>
              <w:t xml:space="preserve">tau</w:t>
            </w:r>
          </w:p>
        </w:tc>
        <w:tc>
          <w:tcPr/>
          <w:p>
            <w:pPr>
              <w:keepNext/>
              <w:pStyle w:val="Compact"/>
              <w:jc w:val="right"/>
            </w:pPr>
            <w:r>
              <w:t xml:space="preserve">I-squared</w:t>
            </w:r>
          </w:p>
        </w:tc>
        <w:tc>
          <w:tcPr/>
          <w:p>
            <w:pPr>
              <w:keepNext/>
              <w:pStyle w:val="Compact"/>
              <w:jc w:val="right"/>
            </w:pPr>
            <w:r>
              <w:t xml:space="preserve">Q</w:t>
            </w:r>
          </w:p>
        </w:tc>
        <w:tc>
          <w:tcPr/>
          <w:p>
            <w:pPr>
              <w:keepNext/>
              <w:pStyle w:val="Compact"/>
            </w:pPr>
            <w:r>
              <w:t xml:space="preserve">p</w:t>
            </w:r>
          </w:p>
        </w:tc>
      </w:tr>
      <w:tr>
        <w:trPr>
          <w:cantSplit/>
        </w:trPr>
        <w:tc>
          <w:tcPr/>
          <w:p>
            <w:pPr>
              <w:keepNext/>
              <w:pStyle w:val="Compact"/>
              <w:jc w:val="right"/>
            </w:pPr>
            <w:r>
              <w:t xml:space="preserve">1.0</w:t>
            </w:r>
          </w:p>
        </w:tc>
        <w:tc>
          <w:tcPr/>
          <w:p>
            <w:pPr>
              <w:keepNext/>
              <w:pStyle w:val="Compact"/>
              <w:jc w:val="right"/>
            </w:pPr>
            <w:r>
              <w:t xml:space="preserve">0.848</w:t>
            </w:r>
          </w:p>
        </w:tc>
        <w:tc>
          <w:tcPr/>
          <w:p>
            <w:pPr>
              <w:keepNext/>
              <w:pStyle w:val="Compact"/>
              <w:jc w:val="right"/>
            </w:pPr>
            <w:r>
              <w:t xml:space="preserve">0.422</w:t>
            </w:r>
          </w:p>
        </w:tc>
        <w:tc>
          <w:tcPr/>
          <w:p>
            <w:pPr>
              <w:keepNext/>
              <w:pStyle w:val="Compact"/>
              <w:jc w:val="right"/>
            </w:pPr>
            <w:r>
              <w:t xml:space="preserve">77.2</w:t>
            </w:r>
          </w:p>
        </w:tc>
        <w:tc>
          <w:tcPr/>
          <w:p>
            <w:pPr>
              <w:keepNext/>
              <w:pStyle w:val="Compact"/>
              <w:jc w:val="right"/>
            </w:pPr>
            <w:r>
              <w:t xml:space="preserve">74.5</w:t>
            </w:r>
          </w:p>
        </w:tc>
        <w:tc>
          <w:tcPr/>
          <w:p>
            <w:pPr>
              <w:keepNext/>
              <w:pStyle w:val="Compact"/>
            </w:pPr>
            <w:r>
              <w:t xml:space="preserve">3.6 x 10^-9</w:t>
            </w:r>
          </w:p>
        </w:tc>
      </w:tr>
      <w:tr>
        <w:trPr>
          <w:cantSplit/>
        </w:trPr>
        <w:tc>
          <w:tcPr/>
          <w:p>
            <w:pPr>
              <w:keepNext/>
              <w:pStyle w:val="Compact"/>
              <w:jc w:val="right"/>
            </w:pPr>
            <w:r>
              <w:t xml:space="preserve">2.0</w:t>
            </w:r>
          </w:p>
        </w:tc>
        <w:tc>
          <w:tcPr/>
          <w:p>
            <w:pPr>
              <w:keepNext/>
              <w:pStyle w:val="Compact"/>
              <w:jc w:val="right"/>
            </w:pPr>
            <w:r>
              <w:t xml:space="preserve">0.696</w:t>
            </w:r>
          </w:p>
        </w:tc>
        <w:tc>
          <w:tcPr/>
          <w:p>
            <w:pPr>
              <w:keepNext/>
              <w:pStyle w:val="Compact"/>
              <w:jc w:val="right"/>
            </w:pPr>
            <w:r>
              <w:t xml:space="preserve">0.412</w:t>
            </w:r>
          </w:p>
        </w:tc>
        <w:tc>
          <w:tcPr/>
          <w:p>
            <w:pPr>
              <w:keepNext/>
              <w:pStyle w:val="Compact"/>
              <w:jc w:val="right"/>
            </w:pPr>
            <w:r>
              <w:t xml:space="preserve">75.0</w:t>
            </w:r>
          </w:p>
        </w:tc>
        <w:tc>
          <w:tcPr/>
          <w:p>
            <w:pPr>
              <w:keepNext/>
              <w:pStyle w:val="Compact"/>
              <w:jc w:val="right"/>
            </w:pPr>
            <w:r>
              <w:t xml:space="preserve">68.1</w:t>
            </w:r>
          </w:p>
        </w:tc>
        <w:tc>
          <w:tcPr/>
          <w:p>
            <w:pPr>
              <w:keepNext/>
              <w:pStyle w:val="Compact"/>
            </w:pPr>
            <w:r>
              <w:t xml:space="preserve">4.5 x 10^-8</w:t>
            </w:r>
          </w:p>
        </w:tc>
      </w:tr>
      <w:tr>
        <w:trPr>
          <w:cantSplit/>
        </w:trPr>
        <w:tc>
          <w:tcPr/>
          <w:p>
            <w:pPr>
              <w:keepNext/>
              <w:pStyle w:val="Compact"/>
              <w:jc w:val="right"/>
            </w:pPr>
            <w:r>
              <w:t xml:space="preserve">3.0</w:t>
            </w:r>
          </w:p>
        </w:tc>
        <w:tc>
          <w:tcPr/>
          <w:p>
            <w:pPr>
              <w:keepNext/>
              <w:pStyle w:val="Compact"/>
              <w:jc w:val="right"/>
            </w:pPr>
            <w:r>
              <w:t xml:space="preserve">0.544</w:t>
            </w:r>
          </w:p>
        </w:tc>
        <w:tc>
          <w:tcPr/>
          <w:p>
            <w:pPr>
              <w:keepNext/>
              <w:pStyle w:val="Compact"/>
              <w:jc w:val="right"/>
            </w:pPr>
            <w:r>
              <w:t xml:space="preserve">0.402</w:t>
            </w:r>
          </w:p>
        </w:tc>
        <w:tc>
          <w:tcPr/>
          <w:p>
            <w:pPr>
              <w:keepNext/>
              <w:pStyle w:val="Compact"/>
              <w:jc w:val="right"/>
            </w:pPr>
            <w:r>
              <w:t xml:space="preserve">72.8</w:t>
            </w:r>
          </w:p>
        </w:tc>
        <w:tc>
          <w:tcPr/>
          <w:p>
            <w:pPr>
              <w:keepNext/>
              <w:pStyle w:val="Compact"/>
              <w:jc w:val="right"/>
            </w:pPr>
            <w:r>
              <w:t xml:space="preserve">62.4</w:t>
            </w:r>
          </w:p>
        </w:tc>
        <w:tc>
          <w:tcPr/>
          <w:p>
            <w:pPr>
              <w:keepNext/>
              <w:pStyle w:val="Compact"/>
            </w:pPr>
            <w:r>
              <w:t xml:space="preserve">4.1 x 10^-7</w:t>
            </w:r>
          </w:p>
        </w:tc>
      </w:tr>
      <w:tr>
        <w:trPr>
          <w:cantSplit/>
        </w:trPr>
        <w:tc>
          <w:tcPr/>
          <w:p>
            <w:pPr>
              <w:keepNext/>
              <w:pStyle w:val="Compact"/>
              <w:jc w:val="right"/>
            </w:pPr>
            <w:r>
              <w:t xml:space="preserve">4.0</w:t>
            </w:r>
          </w:p>
        </w:tc>
        <w:tc>
          <w:tcPr/>
          <w:p>
            <w:pPr>
              <w:keepNext/>
              <w:pStyle w:val="Compact"/>
              <w:jc w:val="right"/>
            </w:pPr>
            <w:r>
              <w:t xml:space="preserve">0.392</w:t>
            </w:r>
          </w:p>
        </w:tc>
        <w:tc>
          <w:tcPr/>
          <w:p>
            <w:pPr>
              <w:keepNext/>
              <w:pStyle w:val="Compact"/>
              <w:jc w:val="right"/>
            </w:pPr>
            <w:r>
              <w:t xml:space="preserve">0.393</w:t>
            </w:r>
          </w:p>
        </w:tc>
        <w:tc>
          <w:tcPr/>
          <w:p>
            <w:pPr>
              <w:keepNext/>
              <w:pStyle w:val="Compact"/>
              <w:jc w:val="right"/>
            </w:pPr>
            <w:r>
              <w:t xml:space="preserve">70.5</w:t>
            </w:r>
          </w:p>
        </w:tc>
        <w:tc>
          <w:tcPr/>
          <w:p>
            <w:pPr>
              <w:keepNext/>
              <w:pStyle w:val="Compact"/>
              <w:jc w:val="right"/>
            </w:pPr>
            <w:r>
              <w:t xml:space="preserve">57.7</w:t>
            </w:r>
          </w:p>
        </w:tc>
        <w:tc>
          <w:tcPr/>
          <w:p>
            <w:pPr>
              <w:keepNext/>
              <w:pStyle w:val="Compact"/>
            </w:pPr>
            <w:r>
              <w:t xml:space="preserve">2.5 x 10^-6</w:t>
            </w:r>
          </w:p>
        </w:tc>
      </w:tr>
      <w:tr>
        <w:trPr>
          <w:cantSplit/>
        </w:trPr>
        <w:tc>
          <w:tcPr/>
          <w:p>
            <w:pPr>
              <w:keepNext/>
              <w:pStyle w:val="Compact"/>
              <w:jc w:val="right"/>
            </w:pPr>
            <w:r>
              <w:t xml:space="preserve">5.0</w:t>
            </w:r>
          </w:p>
        </w:tc>
        <w:tc>
          <w:tcPr/>
          <w:p>
            <w:pPr>
              <w:keepNext/>
              <w:pStyle w:val="Compact"/>
              <w:jc w:val="right"/>
            </w:pPr>
            <w:r>
              <w:t xml:space="preserve">0.240</w:t>
            </w:r>
          </w:p>
        </w:tc>
        <w:tc>
          <w:tcPr/>
          <w:p>
            <w:pPr>
              <w:keepNext/>
              <w:pStyle w:val="Compact"/>
              <w:jc w:val="right"/>
            </w:pPr>
            <w:r>
              <w:t xml:space="preserve">0.388</w:t>
            </w:r>
          </w:p>
        </w:tc>
        <w:tc>
          <w:tcPr/>
          <w:p>
            <w:pPr>
              <w:keepNext/>
              <w:pStyle w:val="Compact"/>
              <w:jc w:val="right"/>
            </w:pPr>
            <w:r>
              <w:t xml:space="preserve">68.5</w:t>
            </w:r>
          </w:p>
        </w:tc>
        <w:tc>
          <w:tcPr/>
          <w:p>
            <w:pPr>
              <w:keepNext/>
              <w:pStyle w:val="Compact"/>
              <w:jc w:val="right"/>
            </w:pPr>
            <w:r>
              <w:t xml:space="preserve">54.0</w:t>
            </w:r>
          </w:p>
        </w:tc>
        <w:tc>
          <w:tcPr/>
          <w:p>
            <w:pPr>
              <w:keepNext/>
              <w:pStyle w:val="Compact"/>
            </w:pPr>
            <w:r>
              <w:t xml:space="preserve">9.8 x 10^-6</w:t>
            </w:r>
          </w:p>
        </w:tc>
      </w:tr>
      <w:tr>
        <w:trPr>
          <w:cantSplit/>
        </w:trPr>
        <w:tc>
          <w:tcPr/>
          <w:p>
            <w:pPr>
              <w:keepNext/>
              <w:pStyle w:val="Compact"/>
              <w:jc w:val="right"/>
            </w:pPr>
            <w:r>
              <w:t xml:space="preserve">6.0</w:t>
            </w:r>
          </w:p>
        </w:tc>
        <w:tc>
          <w:tcPr/>
          <w:p>
            <w:pPr>
              <w:keepNext/>
              <w:pStyle w:val="Compact"/>
              <w:jc w:val="right"/>
            </w:pPr>
            <w:r>
              <w:t xml:space="preserve">0.088</w:t>
            </w:r>
          </w:p>
        </w:tc>
        <w:tc>
          <w:tcPr/>
          <w:p>
            <w:pPr>
              <w:keepNext/>
              <w:pStyle w:val="Compact"/>
              <w:jc w:val="right"/>
            </w:pPr>
            <w:r>
              <w:t xml:space="preserve">0.388</w:t>
            </w:r>
          </w:p>
        </w:tc>
        <w:tc>
          <w:tcPr/>
          <w:p>
            <w:pPr>
              <w:keepNext/>
              <w:pStyle w:val="Compact"/>
              <w:jc w:val="right"/>
            </w:pPr>
            <w:r>
              <w:t xml:space="preserve">67.2</w:t>
            </w:r>
          </w:p>
        </w:tc>
        <w:tc>
          <w:tcPr/>
          <w:p>
            <w:pPr>
              <w:keepNext/>
              <w:pStyle w:val="Compact"/>
              <w:jc w:val="right"/>
            </w:pPr>
            <w:r>
              <w:t xml:space="preserve">51.8</w:t>
            </w:r>
          </w:p>
        </w:tc>
        <w:tc>
          <w:tcPr/>
          <w:p>
            <w:pPr>
              <w:keepNext/>
              <w:pStyle w:val="Compact"/>
            </w:pPr>
            <w:r>
              <w:t xml:space="preserve">2.2 x 10^-5</w:t>
            </w:r>
          </w:p>
        </w:tc>
      </w:tr>
      <w:tr>
        <w:trPr>
          <w:cantSplit/>
        </w:trP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0"/>
    <w:bookmarkStart w:id="23" w:name="s10-reproducibility"/>
    <w:p>
      <w:pPr>
        <w:pStyle w:val="Heading2"/>
      </w:pPr>
      <w:r>
        <w:t xml:space="preserve">S10. Reproducibility</w:t>
      </w:r>
    </w:p>
    <w:bookmarkStart w:id="21"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1320"/>
        <w:gridCol w:w="1672"/>
        <w:gridCol w:w="1936"/>
        <w:gridCol w:w="704"/>
        <w:gridCol w:w="704"/>
        <w:gridCol w:w="792"/>
        <w:gridCol w:w="792"/>
      </w:tblGrid>
      <w:tr>
        <w:trPr>
          <w:cantSplit/>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rPr>
          <w:cantSplit/>
        </w:trP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rPr>
          <w:cantSplit/>
        </w:trP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rPr>
          <w:cantSplit/>
        </w:trP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rPr>
          <w:cantSplit/>
        </w:trP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rPr>
          <w:cantSplit/>
        </w:trP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rPr>
          <w:cantSplit/>
        </w:trP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rPr>
          <w:cantSplit/>
        </w:trP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rPr>
          <w:cantSplit/>
        </w:trP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rPr>
          <w:cantSplit/>
        </w:trP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rPr>
          <w:cantSplit/>
        </w:trP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rPr>
          <w:cantSplit/>
        </w:trP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rPr>
          <w:cantSplit/>
        </w:trP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rPr>
          <w:cantSplit/>
        </w:trP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rPr>
          <w:cantSplit/>
        </w:trP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rPr>
          <w:cantSplit/>
        </w:trP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rPr>
          <w:cantSplit/>
        </w:trP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rPr>
          <w:cantSplit/>
        </w:trP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rPr>
          <w:cantSplit/>
        </w:trP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1"/>
    <w:bookmarkStart w:id="22"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 </w:t>
      </w:r>
      <w:r>
        <w:t xml:space="preserve">and</w:t>
      </w:r>
      <w:r>
        <w:t xml:space="preserve"> </w:t>
      </w:r>
      <w:r>
        <w:rPr>
          <w:rStyle w:val="VerbatimChar"/>
        </w:rPr>
        <w:t xml:space="preserve">protocol_meta_regression.json</w:t>
      </w:r>
      <w:r>
        <w:t xml:space="preserve">. The repository test suite contains 162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w:t>
      </w:r>
    </w:p>
    <w:bookmarkEnd w:id="22"/>
    <w:bookmarkEnd w:id="23"/>
    <w:bookmarkStart w:id="24" w:name="s11-transparency-statement"/>
    <w:p>
      <w:pPr>
        <w:pStyle w:val="Heading2"/>
      </w:pPr>
      <w:r>
        <w:t xml:space="preserve">S11.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2026-07-27T23:17:00Z</dcterms:created>
  <dcterms:modified xsi:type="dcterms:W3CDTF">2026-07-27T23:17:00Z</dcterms:modified>
</cp:coreProperties>
</file>

<file path=docProps/custom.xml><?xml version="1.0" encoding="utf-8"?>
<Properties xmlns="http://schemas.openxmlformats.org/officeDocument/2006/custom-properties" xmlns:vt="http://schemas.openxmlformats.org/officeDocument/2006/docPropsVTypes"/>
</file>