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p>
      <w:pPr>
        <w:pStyle w:val="BodyText"/>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the cross-validated discriminability of a classifier fitted to calibration epochs only.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(95% CI 0.60 to 1.51) and a 95% interval for an unrepresented cohort of -1.97 to 1.85, spanning mappings that badly understate and badly overstate accuracy. The slope agreed and was itself imprecisely estimated: tau 0.43 (0.30 to 0.77), unrepresented-cohort interval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Eight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proxies for the size of the speller matrix;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eight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 ρ =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drawing>
          <wp:inline>
            <wp:extent cx="5334000" cy="3408326"/>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408326"/>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(Table 2).</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1339540"/>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1339540"/>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Eight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eight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0.012), associated with a reduction in the between-cohort variance of the slope from tau squared = 0.187 to 0.063, a share of 66%, equivalently a residual between-cohort standard deviation of 0.25 against 0.43. The rank correlation agreed at rho = 0.72 (p &lt; 0.001, Holm p = 0.006),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both available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eight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four further checks: excluding low-count records, restricting to cohorts with meaningful accuracy variation, excluding records with heavy calibration-epoch rejection, and analysing only the non-ALS cohorts (Table S4). Withholding two cohorts at a time, so development ran on 16 rather than 17 cohorts, reproduced the primary result across all 153 splits (Table S4). Every comparator predictor named in the Methods was run through the same procedure and is reported in full in Table S6; the regularised linear discriminant computed from the identical features agreed with the primary score to within 0.007 on every summary column,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 a mapping whose slope depends on the stopping rule still cannot be carried to a site whose stopping rule is unknown -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2. The between-cohort spread this paper reports therefore reflects how each fold’s mapping performs in the cohort withheld from it, not instability in what each fold fits, evidence against development-fit noise as an alternative explanation for the heterogeneity.</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What remains untestable is the stopping algorithm and the thresholds it used, the matrix dimensions and layout,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but it does not remove the correlation itself, which a joint bootstrap of the full leave-one-study-out pipeline would be needed to fully characterise.</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I-squared in the direction that favours the conclusion. The conclusion holds at tau’s lower confidence limit, with within-cohort variances inflated fivefold (Results, Transportability), and under a participant-cluster bootstrap that makes no asymptotic assumption, which gave a smaller tau of 0.37 for the slope and 0.77 for the intercept (supplement, S4).</w:t>
      </w:r>
    </w:p>
    <w:bookmarkEnd w:id="48"/>
    <w:bookmarkStart w:id="49" w:name="conclusion"/>
    <w:p>
      <w:pPr>
        <w:pStyle w:val="Heading3"/>
      </w:pPr>
      <w:r>
        <w:t xml:space="preserve">Conclusion</w:t>
      </w:r>
    </w:p>
    <w:p>
      <w:pPr>
        <w:pStyle w:val="FirstParagraph"/>
      </w:pPr>
      <w:r>
        <w:t xml:space="preserve">In 18 independent P300-speller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1"/>
    <w:bookmarkStart w:id="52"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2026-07-28T05:32:29Z</dcterms:created>
  <dcterms:modified xsi:type="dcterms:W3CDTF">2026-07-28T05:32:29Z</dcterms:modified>
</cp:coreProperties>
</file>

<file path=docProps/custom.xml><?xml version="1.0" encoding="utf-8"?>
<Properties xmlns="http://schemas.openxmlformats.org/officeDocument/2006/custom-properties" xmlns:vt="http://schemas.openxmlformats.org/officeDocument/2006/docPropsVTypes"/>
</file>