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planned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the archive’s own documented grid size and its documented use of a checkerboard-variant paradigm, alongside both empirical proxies for matrix size.</w:t>
      </w:r>
      <w:r>
        <w:t xml:space="preserve"> </w:t>
      </w:r>
      <w:r>
        <w:t xml:space="preserve">The largest target index and the number of distinct characters copied bound the alphabet actually spelled from below, and both were flat: 0.003 per standard deviation (p = 0.98) and -0.019 (p = 0.89), each leaving the residual between-cohort variance at or above its unmoderated value. The archive’s own descriptor documents an intended grid size (36 or 72 cells) and a stimulus paradigm per study; both were tested directly and were likewise flat: grid size at -0.061 per standard deviation (95% CI -0.343 to 0.222, p = 0.65, Holm p = 1.00) and the checkerboard-paradigm indicator at 0.176 (95% CI -0.072 to 0.423, p = 0.15, Holm p = 1.00), the latter nominally accounting for 15% of the between-cohort variance before correction. Neither test has meaningful power at this sample size: grid size takes only two values among these 18 cohorts and is confounded with ALS-cohort status (three of the four ALS cohorts use the 36-cell grid, the fourth the 72-cell grid), and the checkerboard indicator separates only 2 non-checkerboard cohorts from 16 checkerboard cohorts. The number of stimulus conditions was likewise flat (p = 0.84). Two descriptors had point estimates that were not negligible but were indistinguishable from zero once the ten tests were corrected for: the median number of selections per record at 12% (-0.215 per standard deviation, 95% CI -0.478 to 0.049, Holm p = 0.83) and the fraction of records at ceiling at 11% (0.289, 95% CI -0.022 to 0.599, Holm p = 0.60).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seven protocol descriptors together accounting for 42% of the between-cohort variance (F = 1.87 on 7 and 10 degrees of freedom, p = 0.18) and all ten for 14% (p = 0.39); the interval keeps its own coefficient in the seven-descriptor fit at 0.598 (p = 0.030), and loses it among all ten (p = 0.10), where 10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ten descriptors. The verdict does not depend on how the correction family is defined: the interval’s Holm p value is 0.011 within the seven protocol descriptors, 0.015 within all ten, and 0.029 when the meta-regression and the rank correlation are pooled into one family of twenty,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445"/>
        <w:gridCol w:w="542"/>
        <w:gridCol w:w="451"/>
        <w:gridCol w:w="451"/>
        <w:gridCol w:w="391"/>
        <w:gridCol w:w="391"/>
        <w:gridCol w:w="331"/>
        <w:gridCol w:w="451"/>
        <w:gridCol w:w="451"/>
        <w:gridCol w:w="572"/>
        <w:gridCol w:w="662"/>
        <w:gridCol w:w="873"/>
        <w:gridCol w:w="903"/>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most summary columns, the largest of those being the pooled calibration slope at 0.960 against 0.967 and the between-cohort spread of that slope at 0.562 against 0.560. Two columns separate by more than that: the per-cohort slope range, 0.112 to 2.077 against 0.185 to 2.185, and the between-cohort MAE SD, which is computed on the log scale and reads 0.459 against 0.477, a gap of 0.018.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170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2026-07-28T13:19:25Z</dcterms:created>
  <dcterms:modified xsi:type="dcterms:W3CDTF">2026-07-28T13:19:25Z</dcterms:modified>
</cp:coreProperties>
</file>

<file path=docProps/custom.xml><?xml version="1.0" encoding="utf-8"?>
<Properties xmlns="http://schemas.openxmlformats.org/officeDocument/2006/custom-properties" xmlns:vt="http://schemas.openxmlformats.org/officeDocument/2006/docPropsVTypes"/>
</file>