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0.png" ContentType="image/png"/>
  <Override PartName="/word/media/rId4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w:t>
      </w:r>
      <w:hyperlink r:id="rId9">
        <w:r>
          <w:rPr>
            <w:rStyle w:val="Hyperlink"/>
          </w:rPr>
          <w:t xml:space="preserve">agorensh@bidmc.harvard.edu</w:t>
        </w:r>
      </w:hyperlink>
      <w:r>
        <w:t xml:space="preserve">).</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Start w:id="14" w:name="abstract"/>
    <w:p>
      <w:pPr>
        <w:pStyle w:val="Heading2"/>
      </w:pPr>
      <w:r>
        <w:t xml:space="preserve">Abstract</w:t>
      </w:r>
    </w:p>
    <w:bookmarkStart w:id="10" w:name="objective"/>
    <w:p>
      <w:pPr>
        <w:pStyle w:val="Heading3"/>
      </w:pPr>
      <w:r>
        <w:t xml:space="preserve">Objective</w:t>
      </w:r>
    </w:p>
    <w:p>
      <w:pPr>
        <w:pStyle w:val="FirstParagraph"/>
      </w:pPr>
      <w:r>
        <w:t xml:space="preserve">A calibration-derived score has been related to subsequent online P300-speller accuracy, always within the cohort measured. We evaluated whether a fitted mapping from that score to expected accuracy transports to withheld cohorts.</w:t>
      </w:r>
    </w:p>
    <w:bookmarkEnd w:id="10"/>
    <w:bookmarkStart w:id="11"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targeted primary subgroup.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1"/>
    <w:bookmarkStart w:id="12"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the median time per selection, the archive's only trace of the stopping rule, accounted for two thirds of that between-cohort variance (Holm-corrected p = 0.012). Skill was negative in one of 18 cohorts. The four ALS cohorts alone gave an uncorrected between-cohort slope spread of 0.223, against 0.560 overall.</w:t>
      </w:r>
    </w:p>
    <w:bookmarkEnd w:id="12"/>
    <w:bookmarkStart w:id="13" w:name="significance"/>
    <w:p>
      <w:pPr>
        <w:pStyle w:val="Heading3"/>
      </w:pPr>
      <w:r>
        <w:t xml:space="preserve">Significance</w:t>
      </w:r>
    </w:p>
    <w:p>
      <w:pPr>
        <w:pStyle w:val="FirstParagraph"/>
      </w:pPr>
      <w:r>
        <w:t xml:space="preserve">The score carries a reproducible signal about subsequent accuracy,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3"/>
    <w:bookmarkEnd w:id="14"/>
    <w:bookmarkStart w:id="15"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subsequent online session accuracy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targeted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5"/>
    <w:bookmarkStart w:id="25" w:name="methods"/>
    <w:p>
      <w:pPr>
        <w:pStyle w:val="Heading2"/>
      </w:pPr>
      <w:r>
        <w:t xml:space="preserve">Methods</w:t>
      </w:r>
    </w:p>
    <w:bookmarkStart w:id="16"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primary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6"/>
    <w:bookmarkStart w:id="17"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originally targeted primary subgroup, fixed before the design was widened beyond them. The remaining cohorts carry no documented ALS population and are described here as other cohorts rather than as healthy or control cohorts, because the documentation does not support a positive characterisation.</w:t>
      </w:r>
    </w:p>
    <w:bookmarkEnd w:id="17"/>
    <w:bookmarkStart w:id="18"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8"/>
    <w:bookmarkStart w:id="19"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9"/>
    <w:bookmarkStart w:id="20"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20"/>
    <w:bookmarkStart w:id="21"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1"/>
    <w:bookmarkStart w:id="22"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every specification and none was dropped.</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2"/>
    <w:bookmarkStart w:id="23"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3"/>
    <w:bookmarkStart w:id="24"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4"/>
    <w:bookmarkEnd w:id="25"/>
    <w:bookmarkStart w:id="36" w:name="results"/>
    <w:p>
      <w:pPr>
        <w:pStyle w:val="Heading2"/>
      </w:pPr>
      <w:r>
        <w:t xml:space="preserve">Results</w:t>
      </w:r>
    </w:p>
    <w:bookmarkStart w:id="26"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6"/>
    <w:bookmarkStart w:id="27"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7"/>
    <w:bookmarkStart w:id="28"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8"/>
    <w:bookmarkStart w:id="29"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averaged 0.101 with a between-cohort standard deviation of 0.047, giving a 95% interval for the mean of 0.077 to 0.124 and a 95% interval for a cohort not represented in the archive of -0.002 to 0.203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bookmarkEnd w:id="29"/>
    <w:bookmarkStart w:id="30"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targeted primary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30"/>
    <w:bookmarkStart w:id="31"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31"/>
    <w:bookmarkStart w:id="32"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32"/>
    <w:bookmarkStart w:id="33" w:name="protocol-descriptors-as-moderators"/>
    <w:p>
      <w:pPr>
        <w:pStyle w:val="Heading3"/>
      </w:pPr>
      <w:r>
        <w:t xml:space="preserve">Protocol Descriptors as Moderators</w:t>
      </w:r>
    </w:p>
    <w:p>
      <w:pPr>
        <w:pStyle w:val="FirstParagraph"/>
      </w:pPr>
      <w:r>
        <w:rPr>
          <w:b/>
          <w:bCs/>
        </w:rPr>
        <w:t xml:space="preserve">The time a cohort took over each selection accounted for two thirds of the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reducing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rPr>
          <w:b/>
          <w:bCs/>
        </w:rPr>
        <w:t xml:space="preserve">No other descriptor accounted for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33"/>
    <w:bookmarkStart w:id="34"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34"/>
    <w:bookmarkStart w:id="35"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0.100, between-cohort standard deviation 0.047). Restricting to the 12 cohorts whose session accuracy varied by at least 0.10 raised the mean absolute error to 0.124 and the uncorrected calibration-slope standard deviation to 0.601, indicating that near-ceiling cohorts contributed low error for reasons unrelated to the predictor. Excluding records in which more than 20% of calibration epochs were rejected lowered the mean absolute error to 0.087 and the uncorrected calibration-slope standard deviation to 0.465, the only analysis in which transportability improved. Analysing the 14 cohorts without a documented ALS population gave a mean absolute error of 0.101 with a new-cohort interval of -0.015 to 0.216 and an uncorrected calibration-slope standard deviation of 0.663. These four analyses report the uncorrected spread rather than tau, because each is a re-run of the primary summary on retained data rather than a refitted meta-analysis.</w:t>
      </w:r>
    </w:p>
    <w:p>
      <w:pPr>
        <w:pStyle w:val="BodyText"/>
      </w:pPr>
      <w:r>
        <w:rPr>
          <w:b/>
          <w:bCs/>
        </w:rPr>
        <w:t xml:space="preserve">Withholding two cohorts at a time, so that development ran on 16 cohorts rather than 17, reproduced the primary result across all 153 splits (Table S4).</w:t>
      </w:r>
      <w:r>
        <w:t xml:space="preserve"> </w:t>
      </w:r>
      <w:r>
        <w:t xml:space="preserve">Mean absolute error was 0.1007 against 0.1006, its between-cohort standard deviation 0.0473 against 0.0472, and the uncorrected calibration-slope standard deviation 0.5599 against 0.5596; the three agree to three decimal places. Neither the estimation error nor the between-cohort spread depends on the larger development set, so the failure of the mapping to transport is not a consequence of how many cohorts it was fitted on, at least across this range.</w:t>
      </w:r>
    </w:p>
    <w:p>
      <w:pPr>
        <w:pStyle w:val="BodyText"/>
      </w:pPr>
      <w:r>
        <w:t xml:space="preserve">Every comparator predictor named in the Methods was run through the same withheld-cohort procedure (Table S6). The regularised linear discriminant computed from the identical features agreed with the primary score to within 0.007 on every summary column, including a between-cohort calibration-slope standard deviation of 0.562 against 0.560, so the result reflects how separable the calibration data are rather than the classifier family used to measure it. Calibration classification accuracy cost little in pooled error, 0.106 against 0.098, but doubled the calibration-slope spread to 1.104. The two amplitude contrasts did not separate outcomes in cohorts they were not developed on, at areas under the curve of 0.517 and 0.465, the second below chance. The exploratory model adding ALSFRS-R could be fitted only in the 3 cohorts and 138 records carrying an observed value, and against the primary score run on those same records it changed nothing, at a pooled error of 0.085 for both.</w:t>
      </w:r>
    </w:p>
    <w:bookmarkEnd w:id="35"/>
    <w:bookmarkEnd w:id="36"/>
    <w:bookmarkStart w:id="39"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session's subsequent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-0.002 to 0.203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because the number of calibration files, surviving epochs and cross-validation folds differ. The median number of calibration files per session ranges from 3 to 15 across cohorts, the median number of surviving calibration epochs from 1,479 to 12,910, and the standard error of the score itself from 0.008 to 0.031, a fourfold spread. Measurement error in a predictor attenuates a fitted slope, so some of the between-cohort variation in calibration is attributable to how precisely the score itself was estimated rather than to a difference in the underlying relationship. The three cohorts with the lowest calibration slopes, StudyH at 0.185, StudyJ at 0.326 and StudyK at 0.480, are also the three whose score was least precisely estimated, at standard errors of 0.031, 0.023 and 0.026 against a median of 0.013. Three cohorts cannot separate that mechanism from chance, and it is not a competing explanation that collecting more cohorts would address, so it was quantified directly instead (supplement, S9). Each cohort's reliability ratio, the share of the observed between-session variance in its calibration score that is signal rather than measurement error, ran from 0.848 to 0.992 with a median of 0.976, and 16 of the 18 cohorts were at or above 0.95. Correcting every cohort's slope for attenuation by its own reliability moved the between-cohort standard deviation from tau = 0.432 to 0.422 and I-squared from 79.1 to 77.2, and widened rather than narrowed the observed slope range of 0.185 to 2.185, to 0.218 to 2.292. Because that correction rests on a standard error that assumes independent calibration epochs, and the epochs are not independent, it was repeated with the assumed error variance inflated to 6.5 times that value, just short of the point at which one cohort's reliability would stop being identified; I-squared was still 66.9 and the Q test still gave p = 2.6 x 10^-5. Measurement error in the predictor is therefore a real but minor part of the between-cohort spread and does not account for the failure of the mapping to transport.</w:t>
      </w:r>
    </w:p>
    <w:p>
      <w:pPr>
        <w:pStyle w:val="BodyText"/>
      </w:pPr>
      <w:r>
        <w:t xml:space="preserve">Part of that variation is now attributable to a protocol difference rather than to the cohorts themselves. The time each cohort took over a selection, which is the archive's only trace of the stopping rule, accounted for two thirds of the between-cohort variance in the calibration slope, leaving a residual between-cohort standard deviation of 0.25 against 0.43 unmoderated. That does not restore transportability, for two reasons. A mapping whose slope depends on the stopping rule is still not one that can be carried to a site whose stopping rule is unknown, and knowing it is not the same as being able to correct for it, since the correction estimated here rests on 18 cohorts and on a descriptor that is itself partly determined by the recording wherever stopping was data-dependent. What the result does change is the interpretation of the residual spread: it is not an irreducible property of the population, and a site that reports its stopping rule alongside a calibration score would remove a substantial share of the uncertainty in a transported estimate.</w:t>
      </w:r>
    </w:p>
    <w:p>
      <w:pPr>
        <w:pStyle w:val="BodyText"/>
      </w:pPr>
      <w:r>
        <w:t xml:space="preserve">The comparison between the four ALS cohorts and the full archive is itself a result. Analysed alone, the ALS cohorts gave a calibration slope of 0.985 with an uncorrected between-cohort standard deviation of 0.223 and a favourable Brier skill of 0.303. Analysed alongside 14 further cohorts, the uncorrected standard deviation of the slope was 0.560 and Brier skill fell to 0.110. Four cohorts were not merely too few to estimate the spread; they happened to be homogeneous and favourable, and the resulting picture was optimistic in a direction that only became visible with more cohorts. Evaluating a brain-computer interface mapping on a small number of withheld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0.101 to 0.087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37"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which is the signature of the stopping rule and accounted for two thirds of the between-cohort variance in calibration slope, and the range of target indices, which bounds the speller alphabet from below and accounted for no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between-cohort variance is itself estimated with limited precision. Eighteen cohorts, of 5 to 24 participants each, leave the interval for tau wide on both parameters, and a cluster-robust variance at those cluster counts is downward-biased, which inflates tau and I-squared in the direction that favours the conclusion drawn here. The conclusion was therefore checked against that bias rather than assumed to survive it: it holds at the lower confidence limit of tau for both parameters, and the intercept's prediction interval remains wide when every within-cohort variance is inflated fivefold. What cannot be settled at this number of cohorts is the size of the heterogeneity, only that a single fitted mapping does not describe these cohorts.</w:t>
      </w:r>
    </w:p>
    <w:bookmarkEnd w:id="37"/>
    <w:bookmarkStart w:id="38" w:name="conclusion"/>
    <w:p>
      <w:pPr>
        <w:pStyle w:val="Heading3"/>
      </w:pPr>
      <w:r>
        <w:t xml:space="preserve">Conclusion</w:t>
      </w:r>
    </w:p>
    <w:p>
      <w:pPr>
        <w:pStyle w:val="FirstParagraph"/>
      </w:pPr>
      <w:r>
        <w:t xml:space="preserve">In 18 independent P300-speller cohorts, calibration-derived decoder discriminability was related to subsequent online spelling accuracy,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38"/>
    <w:bookmarkEnd w:id="39"/>
    <w:bookmarkStart w:id="52" w:name="tables-and-figure-legends"/>
    <w:p>
      <w:pPr>
        <w:pStyle w:val="Heading2"/>
      </w:pPr>
      <w:r>
        <w:t xml:space="preserve">Tables and Figure Legends</w:t>
      </w:r>
    </w:p>
    <w:p>
      <w:pPr>
        <w:pStyle w:val="FirstParagraph"/>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2048"/>
        <w:gridCol w:w="1024"/>
        <w:gridCol w:w="1365"/>
        <w:gridCol w:w="1297"/>
        <w:gridCol w:w="2184"/>
      </w:tblGrid>
      <w:tr>
        <w:trPr>
          <w:cantSplit/>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rPr>
          <w:cantSplit/>
        </w:trP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rPr>
          <w:cantSplit/>
        </w:trP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rPr>
          <w:cantSplit/>
        </w:trP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rPr>
          <w:cantSplit/>
        </w:trP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rPr>
          <w:cantSplit/>
        </w:trP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rPr>
          <w:cantSplit/>
        </w:trP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rPr>
          <w:cantSplit/>
        </w:trP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rPr>
          <w:cantSplit/>
        </w:trP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rPr>
          <w:cantSplit/>
        </w:trP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rPr>
          <w:cantSplit/>
        </w:trP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rPr>
          <w:cantSplit/>
        </w:trP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rPr>
          <w:cantSplit/>
        </w:trP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rPr>
          <w:cantSplit/>
        </w:trP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rPr>
          <w:cantSplit/>
        </w:trP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rPr>
          <w:cantSplit/>
        </w:trP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rPr>
          <w:cantSplit/>
        </w:trP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rPr>
          <w:cantSplit/>
        </w:trP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rPr>
          <w:cantSplit/>
        </w:trP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rPr>
          <w:cantSplit/>
        </w:trP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rPr>
          <w:cantSplit/>
        </w:trP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rPr>
          <w:cantSplit/>
        </w:trP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rPr>
          <w:cantSplit/>
        </w:trP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560"/>
        <w:gridCol w:w="981"/>
        <w:gridCol w:w="630"/>
        <w:gridCol w:w="841"/>
        <w:gridCol w:w="1191"/>
        <w:gridCol w:w="490"/>
        <w:gridCol w:w="490"/>
        <w:gridCol w:w="1121"/>
        <w:gridCol w:w="1612"/>
      </w:tblGrid>
      <w:tr>
        <w:trPr>
          <w:cantSplit/>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rPr>
          <w:cantSplit/>
        </w:trP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rPr>
          <w:cantSplit/>
        </w:trP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rPr>
          <w:cantSplit/>
        </w:trP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rPr>
          <w:cantSplit/>
        </w:trP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rPr>
          <w:cantSplit/>
        </w:trP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rPr>
          <w:cantSplit/>
        </w:trP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rPr>
          <w:cantSplit/>
        </w:trP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rPr>
          <w:cantSplit/>
        </w:trP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rPr>
          <w:cantSplit/>
        </w:trP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rPr>
          <w:cantSplit/>
        </w:trP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rPr>
          <w:cantSplit/>
        </w:trP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rPr>
          <w:cantSplit/>
        </w:trP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rPr>
          <w:cantSplit/>
        </w:trP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rPr>
          <w:cantSplit/>
        </w:trP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rPr>
          <w:cantSplit/>
        </w:trP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rPr>
          <w:cantSplit/>
        </w:trP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rPr>
          <w:cantSplit/>
        </w:trP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rPr>
          <w:cantSplit/>
        </w:trP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rPr>
          <w:b/>
          <w:bCs/>
        </w:rPr>
        <w:t xml:space="preserve">Figure 2. Observed against estimated session accuracy, one panel per withheld cohort.</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5334000" cy="3408326"/>
            <wp:effectExtent b="0" l="0" r="0" t="0"/>
            <wp:docPr descr="" title="" id="41" name="Picture"/>
            <a:graphic>
              <a:graphicData uri="http://schemas.openxmlformats.org/drawingml/2006/picture">
                <pic:pic>
                  <pic:nvPicPr>
                    <pic:cNvPr descr="../output/expanded/figures/figure_calibration_forest.png" id="42" name="Picture"/>
                    <pic:cNvPicPr>
                      <a:picLocks noChangeArrowheads="1" noChangeAspect="1"/>
                    </pic:cNvPicPr>
                  </pic:nvPicPr>
                  <pic:blipFill>
                    <a:blip r:embed="rId40"/>
                    <a:stretch>
                      <a:fillRect/>
                    </a:stretch>
                  </pic:blipFill>
                  <pic:spPr bwMode="auto">
                    <a:xfrm>
                      <a:off x="0" y="0"/>
                      <a:ext cx="5334000" cy="3408326"/>
                    </a:xfrm>
                    <a:prstGeom prst="rect">
                      <a:avLst/>
                    </a:prstGeom>
                    <a:noFill/>
                    <a:ln w="9525">
                      <a:noFill/>
                      <a:headEnd/>
                      <a:tailEnd/>
                    </a:ln>
                  </pic:spPr>
                </pic:pic>
              </a:graphicData>
            </a:graphic>
          </wp:inline>
        </w:drawing>
      </w:r>
      <w:r>
        <w:t xml:space="preserve">{width=100%}</w:t>
      </w:r>
    </w:p>
    <w:p>
      <w:pPr>
        <w:pStyle w:val="BodyText"/>
      </w:pPr>
      <w:r>
        <w:drawing>
          <wp:inline>
            <wp:extent cx="5334000" cy="3250867"/>
            <wp:effectExtent b="0" l="0" r="0" t="0"/>
            <wp:docPr descr="" title="" id="44" name="Picture"/>
            <a:graphic>
              <a:graphicData uri="http://schemas.openxmlformats.org/drawingml/2006/picture">
                <pic:pic>
                  <pic:nvPicPr>
                    <pic:cNvPr descr="../output/expanded/figures/figure_calibration_curves.png" id="45" name="Picture"/>
                    <pic:cNvPicPr>
                      <a:picLocks noChangeArrowheads="1" noChangeAspect="1"/>
                    </pic:cNvPicPr>
                  </pic:nvPicPr>
                  <pic:blipFill>
                    <a:blip r:embed="rId43"/>
                    <a:stretch>
                      <a:fillRect/>
                    </a:stretch>
                  </pic:blipFill>
                  <pic:spPr bwMode="auto">
                    <a:xfrm>
                      <a:off x="0" y="0"/>
                      <a:ext cx="5334000" cy="3250867"/>
                    </a:xfrm>
                    <a:prstGeom prst="rect">
                      <a:avLst/>
                    </a:prstGeom>
                    <a:noFill/>
                    <a:ln w="9525">
                      <a:noFill/>
                      <a:headEnd/>
                      <a:tailEnd/>
                    </a:ln>
                  </pic:spPr>
                </pic:pic>
              </a:graphicData>
            </a:graphic>
          </wp:inline>
        </w:drawing>
      </w:r>
      <w:r>
        <w:t xml:space="preserve">{width=100%}</w:t>
      </w:r>
    </w:p>
    <w:p>
      <w:pPr>
        <w:pStyle w:val="BodyText"/>
      </w:pPr>
      <w:r>
        <w:drawing>
          <wp:inline>
            <wp:extent cx="5334000" cy="4956449"/>
            <wp:effectExtent b="0" l="0" r="0" t="0"/>
            <wp:docPr descr="" title="" id="47" name="Picture"/>
            <a:graphic>
              <a:graphicData uri="http://schemas.openxmlformats.org/drawingml/2006/picture">
                <pic:pic>
                  <pic:nvPicPr>
                    <pic:cNvPr descr="../output/expanded/figures/figure_transportability.png" id="48" name="Picture"/>
                    <pic:cNvPicPr>
                      <a:picLocks noChangeArrowheads="1" noChangeAspect="1"/>
                    </pic:cNvPicPr>
                  </pic:nvPicPr>
                  <pic:blipFill>
                    <a:blip r:embed="rId46"/>
                    <a:stretch>
                      <a:fillRect/>
                    </a:stretch>
                  </pic:blipFill>
                  <pic:spPr bwMode="auto">
                    <a:xfrm>
                      <a:off x="0" y="0"/>
                      <a:ext cx="5334000" cy="4956449"/>
                    </a:xfrm>
                    <a:prstGeom prst="rect">
                      <a:avLst/>
                    </a:prstGeom>
                    <a:noFill/>
                    <a:ln w="9525">
                      <a:noFill/>
                      <a:headEnd/>
                      <a:tailEnd/>
                    </a:ln>
                  </pic:spPr>
                </pic:pic>
              </a:graphicData>
            </a:graphic>
          </wp:inline>
        </w:drawing>
      </w:r>
      <w:r>
        <w:t xml:space="preserve">{width=88%}</w:t>
      </w:r>
    </w:p>
    <w:p>
      <w:pPr>
        <w:pStyle w:val="BodyText"/>
      </w:pPr>
      <w:r>
        <w:drawing>
          <wp:inline>
            <wp:extent cx="5334000" cy="4277443"/>
            <wp:effectExtent b="0" l="0" r="0" t="0"/>
            <wp:docPr descr="" title="" id="50" name="Picture"/>
            <a:graphic>
              <a:graphicData uri="http://schemas.openxmlformats.org/drawingml/2006/picture">
                <pic:pic>
                  <pic:nvPicPr>
                    <pic:cNvPr descr="../output/expanded/figures/figure_skill_by_cohort.png" id="51" name="Picture"/>
                    <pic:cNvPicPr>
                      <a:picLocks noChangeArrowheads="1" noChangeAspect="1"/>
                    </pic:cNvPicPr>
                  </pic:nvPicPr>
                  <pic:blipFill>
                    <a:blip r:embed="rId49"/>
                    <a:stretch>
                      <a:fillRect/>
                    </a:stretch>
                  </pic:blipFill>
                  <pic:spPr bwMode="auto">
                    <a:xfrm>
                      <a:off x="0" y="0"/>
                      <a:ext cx="5334000" cy="4277443"/>
                    </a:xfrm>
                    <a:prstGeom prst="rect">
                      <a:avLst/>
                    </a:prstGeom>
                    <a:noFill/>
                    <a:ln w="9525">
                      <a:noFill/>
                      <a:headEnd/>
                      <a:tailEnd/>
                    </a:ln>
                  </pic:spPr>
                </pic:pic>
              </a:graphicData>
            </a:graphic>
          </wp:inline>
        </w:drawing>
      </w:r>
      <w:r>
        <w:t xml:space="preserve">{width=88%}</w:t>
      </w:r>
    </w:p>
    <w:bookmarkEnd w:id="52"/>
    <w:bookmarkStart w:id="54"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w:t>
      </w:r>
      <w:r>
        <w:t xml:space="preserve"> </w:t>
      </w:r>
      <w:hyperlink r:id="rId53">
        <w:r>
          <w:rPr>
            <w:rStyle w:val="Hyperlink"/>
          </w:rPr>
          <w:t xml:space="preserve">https://github.com/Alon-Gorenshtein/study_bigp3_als_calibration</w:t>
        </w:r>
      </w:hyperlink>
      <w:r>
        <w:t xml:space="preserve">. The archive is not redistributed.</w:t>
      </w:r>
    </w:p>
    <w:bookmarkEnd w:id="54"/>
    <w:bookmarkStart w:id="55"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hyperlink" Id="rId53" Target="https://github.com/Alon-Gorenshtein/study_bigp3_als_calibration" TargetMode="External" /><Relationship Type="http://schemas.openxmlformats.org/officeDocument/2006/relationships/hyperlink" Id="rId9" Target="mailto:agorensh@bidmc.harvard.edu" TargetMode="External" /></Relationships>
</file>

<file path=word/_rels/footnotes.xml.rels><?xml version="1.0" encoding="UTF-8"?><Relationships xmlns="http://schemas.openxmlformats.org/package/2006/relationships"><Relationship Type="http://schemas.openxmlformats.org/officeDocument/2006/relationships/hyperlink" Id="rId53" Target="https://github.com/Alon-Gorenshtein/study_bigp3_als_calibration" TargetMode="External" /><Relationship Type="http://schemas.openxmlformats.org/officeDocument/2006/relationships/hyperlink" Id="rId9" Target="mailto:agorensh@bidmc.harva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2026-07-27T23:32:14Z</dcterms:created>
  <dcterms:modified xsi:type="dcterms:W3CDTF">2026-07-27T23:32:14Z</dcterms:modified>
</cp:coreProperties>
</file>

<file path=docProps/custom.xml><?xml version="1.0" encoding="utf-8"?>
<Properties xmlns="http://schemas.openxmlformats.org/officeDocument/2006/custom-properties" xmlns:vt="http://schemas.openxmlformats.org/officeDocument/2006/docPropsVTypes"/>
</file>