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p>
      <w:pPr>
        <w:pStyle w:val="BodyText"/>
      </w:pPr>
      <w:r>
        <w:rPr>
          <w:b/>
          <w:bCs/>
        </w:rPr>
        <w:t xml:space="preserve">Table S11. Per-cohort composition, documented protocol metadata, and withheld-cohort performance.</w:t>
      </w:r>
      <w:r>
        <w:t xml:space="preserve"> </w:t>
      </w:r>
      <w:r>
        <w:t xml:space="preserve">For each of the 18 contributing cohorts: participants, records, analysed selections, the archive’s own documented speller grid size and whether it uses a checkerboard-variant stimulus paradigm, mean observed session-condition accuracy, and, when that cohort was withheld from model development, the mean absolute error, character-weighted area under the curve, and calibration intercept and slope, with the slope’s 95% confidence interval given as separate lower and upper columns rather than combined into one cell. Calibration intercepts and slopes are from the primary cluster-robust specification, with standard errors clustered on participant. ALS cohorts are listed first. This is the full version of the main-text Table 2, which reports composition and observed performance only; the calibration intercept and slope for each cohort, with their confidence intervals, are also shown in Figure 1.</w:t>
      </w:r>
    </w:p>
    <w:tbl>
      <w:tblPr>
        <w:tblStyle w:val="Table"/>
        <w:tblW w:type="pct" w:w="5000"/>
        <w:tblLayout w:type="fixed"/>
        <w:tblLook w:firstRow="1" w:lastRow="0" w:firstColumn="0" w:lastColumn="0" w:noHBand="0" w:noVBand="0" w:val="0020"/>
      </w:tblPr>
      <w:tblGrid>
        <w:gridCol w:w="714"/>
        <w:gridCol w:w="908"/>
        <w:gridCol w:w="584"/>
        <w:gridCol w:w="779"/>
        <w:gridCol w:w="389"/>
        <w:gridCol w:w="843"/>
        <w:gridCol w:w="649"/>
        <w:gridCol w:w="389"/>
        <w:gridCol w:w="389"/>
        <w:gridCol w:w="649"/>
        <w:gridCol w:w="519"/>
        <w:gridCol w:w="519"/>
        <w:gridCol w:w="584"/>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Grid size</w:t>
            </w:r>
          </w:p>
        </w:tc>
        <w:tc>
          <w:tcPr/>
          <w:p>
            <w:pPr>
              <w:pStyle w:val="Compact"/>
            </w:pPr>
            <w:r>
              <w:t xml:space="preserve">Checkerboard</w:t>
            </w:r>
          </w:p>
        </w:tc>
        <w:tc>
          <w:tcPr/>
          <w:p>
            <w:pPr>
              <w:pStyle w:val="Compact"/>
              <w:jc w:val="right"/>
            </w:pPr>
            <w:r>
              <w:t xml:space="preserve">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jc w:val="right"/>
            </w:pPr>
            <w:r>
              <w:t xml:space="preserve">Calib. slope</w:t>
            </w:r>
          </w:p>
        </w:tc>
        <w:tc>
          <w:tcPr/>
          <w:p>
            <w:pPr>
              <w:pStyle w:val="Compact"/>
              <w:jc w:val="right"/>
            </w:pPr>
            <w:r>
              <w:t xml:space="preserve">Slope CI low</w:t>
            </w:r>
          </w:p>
        </w:tc>
        <w:tc>
          <w:tcPr/>
          <w:p>
            <w:pPr>
              <w:pStyle w:val="Compact"/>
              <w:jc w:val="right"/>
            </w:pPr>
            <w:r>
              <w:t xml:space="preserve">Slope CI high</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36</w:t>
            </w:r>
          </w:p>
        </w:tc>
        <w:tc>
          <w:tcPr/>
          <w:p>
            <w:pPr>
              <w:pStyle w:val="Compact"/>
            </w:pPr>
            <w:r>
              <w:t xml:space="preserve">Yes</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jc w:val="right"/>
            </w:pPr>
            <w:r>
              <w:t xml:space="preserve">1.578</w:t>
            </w:r>
          </w:p>
        </w:tc>
        <w:tc>
          <w:tcPr/>
          <w:p>
            <w:pPr>
              <w:pStyle w:val="Compact"/>
              <w:jc w:val="right"/>
            </w:pPr>
            <w:r>
              <w:t xml:space="preserve">0.691</w:t>
            </w:r>
          </w:p>
        </w:tc>
        <w:tc>
          <w:tcPr/>
          <w:p>
            <w:pPr>
              <w:pStyle w:val="Compact"/>
              <w:jc w:val="right"/>
            </w:pPr>
            <w:r>
              <w:t xml:space="preserve">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72</w:t>
            </w:r>
          </w:p>
        </w:tc>
        <w:tc>
          <w:tcPr/>
          <w:p>
            <w:pPr>
              <w:pStyle w:val="Compact"/>
            </w:pPr>
            <w:r>
              <w:t xml:space="preserve">Yes</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jc w:val="right"/>
            </w:pPr>
            <w:r>
              <w:t xml:space="preserve">1.418</w:t>
            </w:r>
          </w:p>
        </w:tc>
        <w:tc>
          <w:tcPr/>
          <w:p>
            <w:pPr>
              <w:pStyle w:val="Compact"/>
              <w:jc w:val="right"/>
            </w:pPr>
            <w:r>
              <w:t xml:space="preserve">1.205</w:t>
            </w:r>
          </w:p>
        </w:tc>
        <w:tc>
          <w:tcPr/>
          <w:p>
            <w:pPr>
              <w:pStyle w:val="Compact"/>
              <w:jc w:val="right"/>
            </w:pPr>
            <w:r>
              <w:t xml:space="preserve">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36</w:t>
            </w:r>
          </w:p>
        </w:tc>
        <w:tc>
          <w:tcPr/>
          <w:p>
            <w:pPr>
              <w:pStyle w:val="Compact"/>
            </w:pPr>
            <w:r>
              <w:t xml:space="preserve">Yes</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jc w:val="right"/>
            </w:pPr>
            <w:r>
              <w:t xml:space="preserve">1.775</w:t>
            </w:r>
          </w:p>
        </w:tc>
        <w:tc>
          <w:tcPr/>
          <w:p>
            <w:pPr>
              <w:pStyle w:val="Compact"/>
              <w:jc w:val="right"/>
            </w:pPr>
            <w:r>
              <w:t xml:space="preserve">1.413</w:t>
            </w:r>
          </w:p>
        </w:tc>
        <w:tc>
          <w:tcPr/>
          <w:p>
            <w:pPr>
              <w:pStyle w:val="Compact"/>
              <w:jc w:val="right"/>
            </w:pPr>
            <w:r>
              <w:t xml:space="preserve">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36</w:t>
            </w:r>
          </w:p>
        </w:tc>
        <w:tc>
          <w:tcPr/>
          <w:p>
            <w:pPr>
              <w:pStyle w:val="Compact"/>
            </w:pPr>
            <w:r>
              <w:t xml:space="preserve">Yes</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jc w:val="right"/>
            </w:pPr>
            <w:r>
              <w:t xml:space="preserve">1.145</w:t>
            </w:r>
          </w:p>
        </w:tc>
        <w:tc>
          <w:tcPr/>
          <w:p>
            <w:pPr>
              <w:pStyle w:val="Compact"/>
              <w:jc w:val="right"/>
            </w:pPr>
            <w:r>
              <w:t xml:space="preserve">0.681</w:t>
            </w:r>
          </w:p>
        </w:tc>
        <w:tc>
          <w:tcPr/>
          <w:p>
            <w:pPr>
              <w:pStyle w:val="Compact"/>
              <w:jc w:val="right"/>
            </w:pPr>
            <w:r>
              <w:t xml:space="preserve">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72</w:t>
            </w:r>
          </w:p>
        </w:tc>
        <w:tc>
          <w:tcPr/>
          <w:p>
            <w:pPr>
              <w:pStyle w:val="Compact"/>
            </w:pPr>
            <w:r>
              <w:t xml:space="preserve">Yes</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jc w:val="right"/>
            </w:pPr>
            <w:r>
              <w:t xml:space="preserve">1.999</w:t>
            </w:r>
          </w:p>
        </w:tc>
        <w:tc>
          <w:tcPr/>
          <w:p>
            <w:pPr>
              <w:pStyle w:val="Compact"/>
              <w:jc w:val="right"/>
            </w:pPr>
            <w:r>
              <w:t xml:space="preserve">1.375</w:t>
            </w:r>
          </w:p>
        </w:tc>
        <w:tc>
          <w:tcPr/>
          <w:p>
            <w:pPr>
              <w:pStyle w:val="Compact"/>
              <w:jc w:val="right"/>
            </w:pPr>
            <w:r>
              <w:t xml:space="preserve">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72</w:t>
            </w:r>
          </w:p>
        </w:tc>
        <w:tc>
          <w:tcPr/>
          <w:p>
            <w:pPr>
              <w:pStyle w:val="Compact"/>
            </w:pPr>
            <w:r>
              <w:t xml:space="preserve">No</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jc w:val="right"/>
            </w:pPr>
            <w:r>
              <w:t xml:space="preserve">0.839</w:t>
            </w:r>
          </w:p>
        </w:tc>
        <w:tc>
          <w:tcPr/>
          <w:p>
            <w:pPr>
              <w:pStyle w:val="Compact"/>
              <w:jc w:val="right"/>
            </w:pPr>
            <w:r>
              <w:t xml:space="preserve">0.461</w:t>
            </w:r>
          </w:p>
        </w:tc>
        <w:tc>
          <w:tcPr/>
          <w:p>
            <w:pPr>
              <w:pStyle w:val="Compact"/>
              <w:jc w:val="right"/>
            </w:pPr>
            <w:r>
              <w:t xml:space="preserve">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72</w:t>
            </w:r>
          </w:p>
        </w:tc>
        <w:tc>
          <w:tcPr/>
          <w:p>
            <w:pPr>
              <w:pStyle w:val="Compact"/>
            </w:pPr>
            <w:r>
              <w:t xml:space="preserve">Yes</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jc w:val="right"/>
            </w:pPr>
            <w:r>
              <w:t xml:space="preserve">0.782</w:t>
            </w:r>
          </w:p>
        </w:tc>
        <w:tc>
          <w:tcPr/>
          <w:p>
            <w:pPr>
              <w:pStyle w:val="Compact"/>
              <w:jc w:val="right"/>
            </w:pPr>
            <w:r>
              <w:t xml:space="preserve">0.214</w:t>
            </w:r>
          </w:p>
        </w:tc>
        <w:tc>
          <w:tcPr/>
          <w:p>
            <w:pPr>
              <w:pStyle w:val="Compact"/>
              <w:jc w:val="right"/>
            </w:pPr>
            <w:r>
              <w:t xml:space="preserve">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72</w:t>
            </w:r>
          </w:p>
        </w:tc>
        <w:tc>
          <w:tcPr/>
          <w:p>
            <w:pPr>
              <w:pStyle w:val="Compact"/>
            </w:pPr>
            <w:r>
              <w:t xml:space="preserve">Yes</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jc w:val="right"/>
            </w:pPr>
            <w:r>
              <w:t xml:space="preserve">1.399</w:t>
            </w:r>
          </w:p>
        </w:tc>
        <w:tc>
          <w:tcPr/>
          <w:p>
            <w:pPr>
              <w:pStyle w:val="Compact"/>
              <w:jc w:val="right"/>
            </w:pPr>
            <w:r>
              <w:t xml:space="preserve">0.957</w:t>
            </w:r>
          </w:p>
        </w:tc>
        <w:tc>
          <w:tcPr/>
          <w:p>
            <w:pPr>
              <w:pStyle w:val="Compact"/>
              <w:jc w:val="right"/>
            </w:pPr>
            <w:r>
              <w:t xml:space="preserve">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72</w:t>
            </w:r>
          </w:p>
        </w:tc>
        <w:tc>
          <w:tcPr/>
          <w:p>
            <w:pPr>
              <w:pStyle w:val="Compact"/>
            </w:pPr>
            <w:r>
              <w:t xml:space="preserve">Yes</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jc w:val="right"/>
            </w:pPr>
            <w:r>
              <w:t xml:space="preserve">0.185</w:t>
            </w:r>
          </w:p>
        </w:tc>
        <w:tc>
          <w:tcPr/>
          <w:p>
            <w:pPr>
              <w:pStyle w:val="Compact"/>
              <w:jc w:val="right"/>
            </w:pPr>
            <w:r>
              <w:t xml:space="preserve">-0.289</w:t>
            </w:r>
          </w:p>
        </w:tc>
        <w:tc>
          <w:tcPr/>
          <w:p>
            <w:pPr>
              <w:pStyle w:val="Compact"/>
              <w:jc w:val="right"/>
            </w:pPr>
            <w:r>
              <w:t xml:space="preserve">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72</w:t>
            </w:r>
          </w:p>
        </w:tc>
        <w:tc>
          <w:tcPr/>
          <w:p>
            <w:pPr>
              <w:pStyle w:val="Compact"/>
            </w:pPr>
            <w:r>
              <w:t xml:space="preserve">Yes</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jc w:val="right"/>
            </w:pPr>
            <w:r>
              <w:t xml:space="preserve">1.044</w:t>
            </w:r>
          </w:p>
        </w:tc>
        <w:tc>
          <w:tcPr/>
          <w:p>
            <w:pPr>
              <w:pStyle w:val="Compact"/>
              <w:jc w:val="right"/>
            </w:pPr>
            <w:r>
              <w:t xml:space="preserve">0.170</w:t>
            </w:r>
          </w:p>
        </w:tc>
        <w:tc>
          <w:tcPr/>
          <w:p>
            <w:pPr>
              <w:pStyle w:val="Compact"/>
              <w:jc w:val="right"/>
            </w:pPr>
            <w:r>
              <w:t xml:space="preserve">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36</w:t>
            </w:r>
          </w:p>
        </w:tc>
        <w:tc>
          <w:tcPr/>
          <w:p>
            <w:pPr>
              <w:pStyle w:val="Compact"/>
            </w:pPr>
            <w:r>
              <w:t xml:space="preserve">No</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jc w:val="right"/>
            </w:pPr>
            <w:r>
              <w:t xml:space="preserve">0.326</w:t>
            </w:r>
          </w:p>
        </w:tc>
        <w:tc>
          <w:tcPr/>
          <w:p>
            <w:pPr>
              <w:pStyle w:val="Compact"/>
              <w:jc w:val="right"/>
            </w:pPr>
            <w:r>
              <w:t xml:space="preserve">-0.063</w:t>
            </w:r>
          </w:p>
        </w:tc>
        <w:tc>
          <w:tcPr/>
          <w:p>
            <w:pPr>
              <w:pStyle w:val="Compact"/>
              <w:jc w:val="right"/>
            </w:pPr>
            <w:r>
              <w:t xml:space="preserve">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72</w:t>
            </w:r>
          </w:p>
        </w:tc>
        <w:tc>
          <w:tcPr/>
          <w:p>
            <w:pPr>
              <w:pStyle w:val="Compact"/>
            </w:pPr>
            <w:r>
              <w:t xml:space="preserve">Yes</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jc w:val="right"/>
            </w:pPr>
            <w:r>
              <w:t xml:space="preserve">0.480</w:t>
            </w:r>
          </w:p>
        </w:tc>
        <w:tc>
          <w:tcPr/>
          <w:p>
            <w:pPr>
              <w:pStyle w:val="Compact"/>
              <w:jc w:val="right"/>
            </w:pPr>
            <w:r>
              <w:t xml:space="preserve">-0.193</w:t>
            </w:r>
          </w:p>
        </w:tc>
        <w:tc>
          <w:tcPr/>
          <w:p>
            <w:pPr>
              <w:pStyle w:val="Compact"/>
              <w:jc w:val="right"/>
            </w:pPr>
            <w:r>
              <w:t xml:space="preserve">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72</w:t>
            </w:r>
          </w:p>
        </w:tc>
        <w:tc>
          <w:tcPr/>
          <w:p>
            <w:pPr>
              <w:pStyle w:val="Compact"/>
            </w:pPr>
            <w:r>
              <w:t xml:space="preserve">Yes</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jc w:val="right"/>
            </w:pPr>
            <w:r>
              <w:t xml:space="preserve">0.888</w:t>
            </w:r>
          </w:p>
        </w:tc>
        <w:tc>
          <w:tcPr/>
          <w:p>
            <w:pPr>
              <w:pStyle w:val="Compact"/>
              <w:jc w:val="right"/>
            </w:pPr>
            <w:r>
              <w:t xml:space="preserve">0.480</w:t>
            </w:r>
          </w:p>
        </w:tc>
        <w:tc>
          <w:tcPr/>
          <w:p>
            <w:pPr>
              <w:pStyle w:val="Compact"/>
              <w:jc w:val="right"/>
            </w:pPr>
            <w:r>
              <w:t xml:space="preserve">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72</w:t>
            </w:r>
          </w:p>
        </w:tc>
        <w:tc>
          <w:tcPr/>
          <w:p>
            <w:pPr>
              <w:pStyle w:val="Compact"/>
            </w:pPr>
            <w:r>
              <w:t xml:space="preserve">Yes</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jc w:val="right"/>
            </w:pPr>
            <w:r>
              <w:t xml:space="preserve">0.583</w:t>
            </w:r>
          </w:p>
        </w:tc>
        <w:tc>
          <w:tcPr/>
          <w:p>
            <w:pPr>
              <w:pStyle w:val="Compact"/>
              <w:jc w:val="right"/>
            </w:pPr>
            <w:r>
              <w:t xml:space="preserve">0.079</w:t>
            </w:r>
          </w:p>
        </w:tc>
        <w:tc>
          <w:tcPr/>
          <w:p>
            <w:pPr>
              <w:pStyle w:val="Compact"/>
              <w:jc w:val="right"/>
            </w:pPr>
            <w:r>
              <w:t xml:space="preserve">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72</w:t>
            </w:r>
          </w:p>
        </w:tc>
        <w:tc>
          <w:tcPr/>
          <w:p>
            <w:pPr>
              <w:pStyle w:val="Compact"/>
            </w:pPr>
            <w:r>
              <w:t xml:space="preserve">Yes</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jc w:val="right"/>
            </w:pPr>
            <w:r>
              <w:t xml:space="preserve">1.108</w:t>
            </w:r>
          </w:p>
        </w:tc>
        <w:tc>
          <w:tcPr/>
          <w:p>
            <w:pPr>
              <w:pStyle w:val="Compact"/>
              <w:jc w:val="right"/>
            </w:pPr>
            <w:r>
              <w:t xml:space="preserve">0.844</w:t>
            </w:r>
          </w:p>
        </w:tc>
        <w:tc>
          <w:tcPr/>
          <w:p>
            <w:pPr>
              <w:pStyle w:val="Compact"/>
              <w:jc w:val="right"/>
            </w:pPr>
            <w:r>
              <w:t xml:space="preserve">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72</w:t>
            </w:r>
          </w:p>
        </w:tc>
        <w:tc>
          <w:tcPr/>
          <w:p>
            <w:pPr>
              <w:pStyle w:val="Compact"/>
            </w:pPr>
            <w:r>
              <w:t xml:space="preserve">Yes</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jc w:val="right"/>
            </w:pPr>
            <w:r>
              <w:t xml:space="preserve">0.763</w:t>
            </w:r>
          </w:p>
        </w:tc>
        <w:tc>
          <w:tcPr/>
          <w:p>
            <w:pPr>
              <w:pStyle w:val="Compact"/>
              <w:jc w:val="right"/>
            </w:pPr>
            <w:r>
              <w:t xml:space="preserve">0.359</w:t>
            </w:r>
          </w:p>
        </w:tc>
        <w:tc>
          <w:tcPr/>
          <w:p>
            <w:pPr>
              <w:pStyle w:val="Compact"/>
              <w:jc w:val="right"/>
            </w:pPr>
            <w:r>
              <w:t xml:space="preserve">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72</w:t>
            </w:r>
          </w:p>
        </w:tc>
        <w:tc>
          <w:tcPr/>
          <w:p>
            <w:pPr>
              <w:pStyle w:val="Compact"/>
            </w:pPr>
            <w:r>
              <w:t xml:space="preserve">Yes</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jc w:val="right"/>
            </w:pPr>
            <w:r>
              <w:t xml:space="preserve">1.312</w:t>
            </w:r>
          </w:p>
        </w:tc>
        <w:tc>
          <w:tcPr/>
          <w:p>
            <w:pPr>
              <w:pStyle w:val="Compact"/>
              <w:jc w:val="right"/>
            </w:pPr>
            <w:r>
              <w:t xml:space="preserve">-0.216</w:t>
            </w:r>
          </w:p>
        </w:tc>
        <w:tc>
          <w:tcPr/>
          <w:p>
            <w:pPr>
              <w:pStyle w:val="Compact"/>
              <w:jc w:val="right"/>
            </w:pPr>
            <w:r>
              <w:t xml:space="preserve">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72</w:t>
            </w:r>
          </w:p>
        </w:tc>
        <w:tc>
          <w:tcPr/>
          <w:p>
            <w:pPr>
              <w:pStyle w:val="Compact"/>
            </w:pPr>
            <w:r>
              <w:t xml:space="preserve">Yes</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jc w:val="right"/>
            </w:pPr>
            <w:r>
              <w:t xml:space="preserve">2.185</w:t>
            </w:r>
          </w:p>
        </w:tc>
        <w:tc>
          <w:tcPr/>
          <w:p>
            <w:pPr>
              <w:pStyle w:val="Compact"/>
              <w:jc w:val="right"/>
            </w:pPr>
            <w:r>
              <w:t xml:space="preserve">1.215</w:t>
            </w:r>
          </w:p>
        </w:tc>
        <w:tc>
          <w:tcPr/>
          <w:p>
            <w:pPr>
              <w:pStyle w:val="Compact"/>
              <w:jc w:val="right"/>
            </w:pPr>
            <w:r>
              <w:t xml:space="preserve">3.154</w:t>
            </w: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 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 The reported mean for that row is the geometric mean; the arithmetic mean of the 18 cohort-level errors was 0.101.</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 (geometric mean)</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p>
      <w:pPr>
        <w:pStyle w:val="BodyText"/>
      </w:pPr>
      <w:r>
        <w:t xml:space="preserve">Reading the gap between the clustered sandwich (0.43/0.87) and the bootstrap (0.37/0.77) as evidence about the variance-estimation method assumes the two are pooling the same cohorts, and they are not: the bootstrap’s 0.37/0.77 excludes Study S1, one of the more extreme calibration intercepts in the archive, while the clustered sandwich’s 0.43/0.87 includes it. Part of the gap could therefore be Study S1’s absence rather than the estimator. To separate the two, the clustered-sandwich pooling was repeated on the identical 17 cohorts the bootstrap identified, using the same random-effects estimator with Study S1 excluded (</w:t>
      </w:r>
      <w:r>
        <w:rPr>
          <w:rStyle w:val="VerbatimChar"/>
        </w:rPr>
        <w:t xml:space="preserve">random_effects_matched_cohorts</w:t>
      </w:r>
      <w:r>
        <w:t xml:space="preserve">,</w:t>
      </w:r>
      <w:r>
        <w:t xml:space="preserve"> </w:t>
      </w:r>
      <w:r>
        <w:rPr>
          <w:rStyle w:val="VerbatimChar"/>
        </w:rPr>
        <w:t xml:space="preserve">src/bigp3_als/heterogeneity.py</w:t>
      </w:r>
      <w:r>
        <w:t xml:space="preserve">). That matched-cohort clustered-sandwich tau was 0.44 for the slope and 0.87 for the intercept, essentially unchanged from the all-18 values of 0.43 and 0.87 and, if anything, fractionally farther from the bootstrap’s own 0.37 and 0.77 than the all-18 values were. Excluding Study S1 from the clustered-sandwich pooling therefore does not on its own reproduce the bootstrap’s smaller tau, so most of the gap between the two methods reflects the variance-estimation method itself rather than Study S1’s exclusion.</w:t>
      </w:r>
    </w:p>
    <w:p>
      <w:pPr>
        <w:pStyle w:val="BodyText"/>
      </w:pPr>
      <w:r>
        <w:rPr>
          <w:b/>
          <w:bCs/>
        </w:rPr>
        <w:t xml:space="preserve">Table S2b. Per-cohort bootstrap replicate diagnostics.</w:t>
      </w:r>
      <w:r>
        <w:t xml:space="preserve"> </w:t>
      </w:r>
      <w:r>
        <w:t xml:space="preserve">Successful replicates are those of the 2,000 participant-cluster resamples that survived every guard in</w:t>
      </w:r>
      <w:r>
        <w:t xml:space="preserve"> </w:t>
      </w:r>
      <w:r>
        <w:rPr>
          <w:rStyle w:val="VerbatimChar"/>
        </w:rPr>
        <w:t xml:space="preserve">_bootstrap_standard_errors</w:t>
      </w:r>
      <w:r>
        <w:t xml:space="preserve">: a resampled design matrix with full column rank, a GLM refit that converges without raising, and fitted probabilities that stay clear of the 0/1 boundary by more than</w:t>
      </w:r>
      <w:r>
        <w:t xml:space="preserve"> </w:t>
      </w:r>
      <w:r>
        <w:rPr>
          <w:rStyle w:val="VerbatimChar"/>
        </w:rPr>
        <w:t xml:space="preserve">FITTED_BOUNDARY</w:t>
      </w:r>
      <w:r>
        <w:t xml:space="preserve">. A cohort is reported as identified under the bootstrap method only when at least half of the 2,000 replicates (1,000) survive; the standard error is then the sample standard deviation of exactly that surviving set, with no further filtering. Study S1 is the only cohort below that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Cohort</w:t>
            </w:r>
          </w:p>
        </w:tc>
        <w:tc>
          <w:tcPr/>
          <w:p>
            <w:pPr>
              <w:pStyle w:val="Compact"/>
              <w:jc w:val="right"/>
            </w:pPr>
            <w:r>
              <w:t xml:space="preserve">Successful replicates (of 2,000)</w:t>
            </w:r>
          </w:p>
        </w:tc>
        <w:tc>
          <w:tcPr/>
          <w:p>
            <w:pPr>
              <w:pStyle w:val="Compact"/>
            </w:pPr>
            <w:r>
              <w:t xml:space="preserve">Identified</w:t>
            </w:r>
          </w:p>
        </w:tc>
      </w:tr>
      <w:tr>
        <w:tc>
          <w:tcPr/>
          <w:p>
            <w:pPr>
              <w:pStyle w:val="Compact"/>
            </w:pPr>
            <w:r>
              <w:t xml:space="preserve">Study A</w:t>
            </w:r>
          </w:p>
        </w:tc>
        <w:tc>
          <w:tcPr/>
          <w:p>
            <w:pPr>
              <w:pStyle w:val="Compact"/>
              <w:jc w:val="right"/>
            </w:pPr>
            <w:r>
              <w:t xml:space="preserve">2,000</w:t>
            </w:r>
          </w:p>
        </w:tc>
        <w:tc>
          <w:tcPr/>
          <w:p>
            <w:pPr>
              <w:pStyle w:val="Compact"/>
            </w:pPr>
            <w:r>
              <w:t xml:space="preserve">yes</w:t>
            </w:r>
          </w:p>
        </w:tc>
      </w:tr>
      <w:tr>
        <w:tc>
          <w:tcPr/>
          <w:p>
            <w:pPr>
              <w:pStyle w:val="Compact"/>
            </w:pPr>
            <w:r>
              <w:t xml:space="preserve">Study B</w:t>
            </w:r>
          </w:p>
        </w:tc>
        <w:tc>
          <w:tcPr/>
          <w:p>
            <w:pPr>
              <w:pStyle w:val="Compact"/>
              <w:jc w:val="right"/>
            </w:pPr>
            <w:r>
              <w:t xml:space="preserve">2,000</w:t>
            </w:r>
          </w:p>
        </w:tc>
        <w:tc>
          <w:tcPr/>
          <w:p>
            <w:pPr>
              <w:pStyle w:val="Compact"/>
            </w:pPr>
            <w:r>
              <w:t xml:space="preserve">yes</w:t>
            </w:r>
          </w:p>
        </w:tc>
      </w:tr>
      <w:tr>
        <w:tc>
          <w:tcPr/>
          <w:p>
            <w:pPr>
              <w:pStyle w:val="Compact"/>
            </w:pPr>
            <w:r>
              <w:t xml:space="preserve">Study D</w:t>
            </w:r>
          </w:p>
        </w:tc>
        <w:tc>
          <w:tcPr/>
          <w:p>
            <w:pPr>
              <w:pStyle w:val="Compact"/>
              <w:jc w:val="right"/>
            </w:pPr>
            <w:r>
              <w:t xml:space="preserve">2,000</w:t>
            </w:r>
          </w:p>
        </w:tc>
        <w:tc>
          <w:tcPr/>
          <w:p>
            <w:pPr>
              <w:pStyle w:val="Compact"/>
            </w:pPr>
            <w:r>
              <w:t xml:space="preserve">yes</w:t>
            </w:r>
          </w:p>
        </w:tc>
      </w:tr>
      <w:tr>
        <w:tc>
          <w:tcPr/>
          <w:p>
            <w:pPr>
              <w:pStyle w:val="Compact"/>
            </w:pPr>
            <w:r>
              <w:t xml:space="preserve">Study E</w:t>
            </w:r>
          </w:p>
        </w:tc>
        <w:tc>
          <w:tcPr/>
          <w:p>
            <w:pPr>
              <w:pStyle w:val="Compact"/>
              <w:jc w:val="right"/>
            </w:pPr>
            <w:r>
              <w:t xml:space="preserve">1,999</w:t>
            </w:r>
          </w:p>
        </w:tc>
        <w:tc>
          <w:tcPr/>
          <w:p>
            <w:pPr>
              <w:pStyle w:val="Compact"/>
            </w:pPr>
            <w:r>
              <w:t xml:space="preserve">yes</w:t>
            </w:r>
          </w:p>
        </w:tc>
      </w:tr>
      <w:tr>
        <w:tc>
          <w:tcPr/>
          <w:p>
            <w:pPr>
              <w:pStyle w:val="Compact"/>
            </w:pPr>
            <w:r>
              <w:t xml:space="preserve">Study F</w:t>
            </w:r>
          </w:p>
        </w:tc>
        <w:tc>
          <w:tcPr/>
          <w:p>
            <w:pPr>
              <w:pStyle w:val="Compact"/>
              <w:jc w:val="right"/>
            </w:pPr>
            <w:r>
              <w:t xml:space="preserve">2,000</w:t>
            </w:r>
          </w:p>
        </w:tc>
        <w:tc>
          <w:tcPr/>
          <w:p>
            <w:pPr>
              <w:pStyle w:val="Compact"/>
            </w:pPr>
            <w:r>
              <w:t xml:space="preserve">yes</w:t>
            </w:r>
          </w:p>
        </w:tc>
      </w:tr>
      <w:tr>
        <w:tc>
          <w:tcPr/>
          <w:p>
            <w:pPr>
              <w:pStyle w:val="Compact"/>
            </w:pPr>
            <w:r>
              <w:t xml:space="preserve">Study G</w:t>
            </w:r>
          </w:p>
        </w:tc>
        <w:tc>
          <w:tcPr/>
          <w:p>
            <w:pPr>
              <w:pStyle w:val="Compact"/>
              <w:jc w:val="right"/>
            </w:pPr>
            <w:r>
              <w:t xml:space="preserve">2,000</w:t>
            </w:r>
          </w:p>
        </w:tc>
        <w:tc>
          <w:tcPr/>
          <w:p>
            <w:pPr>
              <w:pStyle w:val="Compact"/>
            </w:pPr>
            <w:r>
              <w:t xml:space="preserve">yes</w:t>
            </w:r>
          </w:p>
        </w:tc>
      </w:tr>
      <w:tr>
        <w:tc>
          <w:tcPr/>
          <w:p>
            <w:pPr>
              <w:pStyle w:val="Compact"/>
            </w:pPr>
            <w:r>
              <w:t xml:space="preserve">Study H</w:t>
            </w:r>
          </w:p>
        </w:tc>
        <w:tc>
          <w:tcPr/>
          <w:p>
            <w:pPr>
              <w:pStyle w:val="Compact"/>
              <w:jc w:val="right"/>
            </w:pPr>
            <w:r>
              <w:t xml:space="preserve">2,000</w:t>
            </w:r>
          </w:p>
        </w:tc>
        <w:tc>
          <w:tcPr/>
          <w:p>
            <w:pPr>
              <w:pStyle w:val="Compact"/>
            </w:pPr>
            <w:r>
              <w:t xml:space="preserve">yes</w:t>
            </w:r>
          </w:p>
        </w:tc>
      </w:tr>
      <w:tr>
        <w:tc>
          <w:tcPr/>
          <w:p>
            <w:pPr>
              <w:pStyle w:val="Compact"/>
            </w:pPr>
            <w:r>
              <w:t xml:space="preserve">Study I</w:t>
            </w:r>
          </w:p>
        </w:tc>
        <w:tc>
          <w:tcPr/>
          <w:p>
            <w:pPr>
              <w:pStyle w:val="Compact"/>
              <w:jc w:val="right"/>
            </w:pPr>
            <w:r>
              <w:t xml:space="preserve">2,000</w:t>
            </w:r>
          </w:p>
        </w:tc>
        <w:tc>
          <w:tcPr/>
          <w:p>
            <w:pPr>
              <w:pStyle w:val="Compact"/>
            </w:pPr>
            <w:r>
              <w:t xml:space="preserve">yes</w:t>
            </w:r>
          </w:p>
        </w:tc>
      </w:tr>
      <w:tr>
        <w:tc>
          <w:tcPr/>
          <w:p>
            <w:pPr>
              <w:pStyle w:val="Compact"/>
            </w:pPr>
            <w:r>
              <w:t xml:space="preserve">Study J</w:t>
            </w:r>
          </w:p>
        </w:tc>
        <w:tc>
          <w:tcPr/>
          <w:p>
            <w:pPr>
              <w:pStyle w:val="Compact"/>
              <w:jc w:val="right"/>
            </w:pPr>
            <w:r>
              <w:t xml:space="preserve">2,000</w:t>
            </w:r>
          </w:p>
        </w:tc>
        <w:tc>
          <w:tcPr/>
          <w:p>
            <w:pPr>
              <w:pStyle w:val="Compact"/>
            </w:pPr>
            <w:r>
              <w:t xml:space="preserve">yes</w:t>
            </w:r>
          </w:p>
        </w:tc>
      </w:tr>
      <w:tr>
        <w:tc>
          <w:tcPr/>
          <w:p>
            <w:pPr>
              <w:pStyle w:val="Compact"/>
            </w:pPr>
            <w:r>
              <w:t xml:space="preserve">Study K</w:t>
            </w:r>
          </w:p>
        </w:tc>
        <w:tc>
          <w:tcPr/>
          <w:p>
            <w:pPr>
              <w:pStyle w:val="Compact"/>
              <w:jc w:val="right"/>
            </w:pPr>
            <w:r>
              <w:t xml:space="preserve">1,997</w:t>
            </w:r>
          </w:p>
        </w:tc>
        <w:tc>
          <w:tcPr/>
          <w:p>
            <w:pPr>
              <w:pStyle w:val="Compact"/>
            </w:pPr>
            <w:r>
              <w:t xml:space="preserve">yes</w:t>
            </w:r>
          </w:p>
        </w:tc>
      </w:tr>
      <w:tr>
        <w:tc>
          <w:tcPr/>
          <w:p>
            <w:pPr>
              <w:pStyle w:val="Compact"/>
            </w:pPr>
            <w:r>
              <w:t xml:space="preserve">Study L</w:t>
            </w:r>
          </w:p>
        </w:tc>
        <w:tc>
          <w:tcPr/>
          <w:p>
            <w:pPr>
              <w:pStyle w:val="Compact"/>
              <w:jc w:val="right"/>
            </w:pPr>
            <w:r>
              <w:t xml:space="preserve">2,000</w:t>
            </w:r>
          </w:p>
        </w:tc>
        <w:tc>
          <w:tcPr/>
          <w:p>
            <w:pPr>
              <w:pStyle w:val="Compact"/>
            </w:pPr>
            <w:r>
              <w:t xml:space="preserve">yes</w:t>
            </w:r>
          </w:p>
        </w:tc>
      </w:tr>
      <w:tr>
        <w:tc>
          <w:tcPr/>
          <w:p>
            <w:pPr>
              <w:pStyle w:val="Compact"/>
            </w:pPr>
            <w:r>
              <w:t xml:space="preserve">Study M</w:t>
            </w:r>
          </w:p>
        </w:tc>
        <w:tc>
          <w:tcPr/>
          <w:p>
            <w:pPr>
              <w:pStyle w:val="Compact"/>
              <w:jc w:val="right"/>
            </w:pPr>
            <w:r>
              <w:t xml:space="preserve">2,000</w:t>
            </w:r>
          </w:p>
        </w:tc>
        <w:tc>
          <w:tcPr/>
          <w:p>
            <w:pPr>
              <w:pStyle w:val="Compact"/>
            </w:pPr>
            <w:r>
              <w:t xml:space="preserve">yes</w:t>
            </w:r>
          </w:p>
        </w:tc>
      </w:tr>
      <w:tr>
        <w:tc>
          <w:tcPr/>
          <w:p>
            <w:pPr>
              <w:pStyle w:val="Compact"/>
            </w:pPr>
            <w:r>
              <w:t xml:space="preserve">Study N</w:t>
            </w:r>
          </w:p>
        </w:tc>
        <w:tc>
          <w:tcPr/>
          <w:p>
            <w:pPr>
              <w:pStyle w:val="Compact"/>
              <w:jc w:val="right"/>
            </w:pPr>
            <w:r>
              <w:t xml:space="preserve">2,000</w:t>
            </w:r>
          </w:p>
        </w:tc>
        <w:tc>
          <w:tcPr/>
          <w:p>
            <w:pPr>
              <w:pStyle w:val="Compact"/>
            </w:pPr>
            <w:r>
              <w:t xml:space="preserve">yes</w:t>
            </w:r>
          </w:p>
        </w:tc>
      </w:tr>
      <w:tr>
        <w:tc>
          <w:tcPr/>
          <w:p>
            <w:pPr>
              <w:pStyle w:val="Compact"/>
            </w:pPr>
            <w:r>
              <w:t xml:space="preserve">Study O</w:t>
            </w:r>
          </w:p>
        </w:tc>
        <w:tc>
          <w:tcPr/>
          <w:p>
            <w:pPr>
              <w:pStyle w:val="Compact"/>
              <w:jc w:val="right"/>
            </w:pPr>
            <w:r>
              <w:t xml:space="preserve">2,000</w:t>
            </w:r>
          </w:p>
        </w:tc>
        <w:tc>
          <w:tcPr/>
          <w:p>
            <w:pPr>
              <w:pStyle w:val="Compact"/>
            </w:pPr>
            <w:r>
              <w:t xml:space="preserve">yes</w:t>
            </w:r>
          </w:p>
        </w:tc>
      </w:tr>
      <w:tr>
        <w:tc>
          <w:tcPr/>
          <w:p>
            <w:pPr>
              <w:pStyle w:val="Compact"/>
            </w:pPr>
            <w:r>
              <w:t xml:space="preserve">Study Q</w:t>
            </w:r>
          </w:p>
        </w:tc>
        <w:tc>
          <w:tcPr/>
          <w:p>
            <w:pPr>
              <w:pStyle w:val="Compact"/>
              <w:jc w:val="right"/>
            </w:pPr>
            <w:r>
              <w:t xml:space="preserve">2,000</w:t>
            </w:r>
          </w:p>
        </w:tc>
        <w:tc>
          <w:tcPr/>
          <w:p>
            <w:pPr>
              <w:pStyle w:val="Compact"/>
            </w:pPr>
            <w:r>
              <w:t xml:space="preserve">yes</w:t>
            </w:r>
          </w:p>
        </w:tc>
      </w:tr>
      <w:tr>
        <w:tc>
          <w:tcPr/>
          <w:p>
            <w:pPr>
              <w:pStyle w:val="Compact"/>
            </w:pPr>
            <w:r>
              <w:t xml:space="preserve">Study R</w:t>
            </w:r>
          </w:p>
        </w:tc>
        <w:tc>
          <w:tcPr/>
          <w:p>
            <w:pPr>
              <w:pStyle w:val="Compact"/>
              <w:jc w:val="right"/>
            </w:pPr>
            <w:r>
              <w:t xml:space="preserve">2,000</w:t>
            </w:r>
          </w:p>
        </w:tc>
        <w:tc>
          <w:tcPr/>
          <w:p>
            <w:pPr>
              <w:pStyle w:val="Compact"/>
            </w:pPr>
            <w:r>
              <w:t xml:space="preserve">yes</w:t>
            </w:r>
          </w:p>
        </w:tc>
      </w:tr>
      <w:tr>
        <w:tc>
          <w:tcPr/>
          <w:p>
            <w:pPr>
              <w:pStyle w:val="Compact"/>
            </w:pPr>
            <w:r>
              <w:t xml:space="preserve">Study S1</w:t>
            </w:r>
          </w:p>
        </w:tc>
        <w:tc>
          <w:tcPr/>
          <w:p>
            <w:pPr>
              <w:pStyle w:val="Compact"/>
              <w:jc w:val="right"/>
            </w:pPr>
            <w:r>
              <w:t xml:space="preserve">843</w:t>
            </w:r>
          </w:p>
        </w:tc>
        <w:tc>
          <w:tcPr/>
          <w:p>
            <w:pPr>
              <w:pStyle w:val="Compact"/>
            </w:pPr>
            <w:r>
              <w:t xml:space="preserve">no</w:t>
            </w:r>
          </w:p>
        </w:tc>
      </w:tr>
      <w:tr>
        <w:tc>
          <w:tcPr/>
          <w:p>
            <w:pPr>
              <w:pStyle w:val="Compact"/>
            </w:pPr>
            <w:r>
              <w:t xml:space="preserve">Study S2</w:t>
            </w:r>
          </w:p>
        </w:tc>
        <w:tc>
          <w:tcPr/>
          <w:p>
            <w:pPr>
              <w:pStyle w:val="Compact"/>
              <w:jc w:val="right"/>
            </w:pPr>
            <w:r>
              <w:t xml:space="preserve">2,000</w:t>
            </w:r>
          </w:p>
        </w:tc>
        <w:tc>
          <w:tcPr/>
          <w:p>
            <w:pPr>
              <w:pStyle w:val="Compact"/>
            </w:pPr>
            <w:r>
              <w:t xml:space="preserve">yes</w:t>
            </w:r>
          </w:p>
        </w:tc>
      </w:tr>
    </w:tbl>
    <w:p>
      <w:pPr>
        <w:pStyle w:val="BodyText"/>
      </w:pPr>
      <w:r>
        <w:t xml:space="preserve">Every cohort but Study S1 loses at most 3 of 2,000 replicates to the guards; Study S1 loses 1,157, comfortably past the 1,000-replicate threshold, which is why it alone is reported as not identified under the bootstrap method while every other cohort is estimated from an essentially complete set of replicates.</w:t>
      </w:r>
    </w:p>
    <w:p>
      <w:pPr>
        <w:pStyle w:val="BodyText"/>
      </w:pPr>
      <w:r>
        <w:t xml:space="preserve">A reviewer suggested, as a preferable rather than required alternative, refitting every bootstrap replicate with a penalized calibration model such as Firth logistic regression, so that Study S1’s replicates would stay identified during resampling instead of being discarded. That change would replace the estimator used inside</w:t>
      </w:r>
      <w:r>
        <w:t xml:space="preserve"> </w:t>
      </w:r>
      <w:r>
        <w:rPr>
          <w:rStyle w:val="VerbatimChar"/>
        </w:rPr>
        <w:t xml:space="preserve">_bootstrap_standard_errors</w:t>
      </w:r>
      <w:r>
        <w:t xml:space="preserve"> </w:t>
      </w:r>
      <w:r>
        <w:t xml:space="preserve">for every replicate of every cohort, not only Study S1’s, and is a materially larger undertaking than the matched-cohort comparison above. It was consciously not pursued in this revision and is recorded here as a deferred alternative rather than implemented.</w:t>
      </w:r>
    </w:p>
    <w:p>
      <w:pPr>
        <w:pStyle w:val="BodyText"/>
      </w:pPr>
      <w:r>
        <w:t xml:space="preserve">A further check addresses a different limitation of the bootstrap above: it resamples each held-out cohort’s participants independently within its own fold, so it cannot see that any two leave-one-study-out folds share up to 16 of their 17 development cohorts.</w:t>
      </w:r>
      <w:r>
        <w:t xml:space="preserve"> </w:t>
      </w:r>
      <w:r>
        <w:rPr>
          <w:rStyle w:val="VerbatimChar"/>
        </w:rPr>
        <w:t xml:space="preserve">joint_bootstrap_fold_covariance</w:t>
      </w:r>
      <w:r>
        <w:t xml:space="preserve"> </w:t>
      </w:r>
      <w:r>
        <w:t xml:space="preserve">(</w:t>
      </w:r>
      <w:r>
        <w:rPr>
          <w:rStyle w:val="VerbatimChar"/>
        </w:rPr>
        <w:t xml:space="preserve">src/bigp3_als/validation.py</w:t>
      </w:r>
      <w:r>
        <w:t xml:space="preserve">) instead draws one joint resample of every cohort’s participants per replicate, using the same</w:t>
      </w:r>
      <w:r>
        <w:t xml:space="preserve"> </w:t>
      </w:r>
      <w:r>
        <w:rPr>
          <w:rStyle w:val="VerbatimChar"/>
        </w:rPr>
        <w:t xml:space="preserve">RANDOM_SEED</w:t>
      </w:r>
      <w:r>
        <w:t xml:space="preserve"> </w:t>
      </w:r>
      <w:r>
        <w:t xml:space="preserve">and</w:t>
      </w:r>
      <w:r>
        <w:t xml:space="preserve"> </w:t>
      </w:r>
      <w:r>
        <w:rPr>
          <w:rStyle w:val="VerbatimChar"/>
        </w:rPr>
        <w:t xml:space="preserve">BOOTSTRAP_REPETITIONS</w:t>
      </w:r>
      <w:r>
        <w:t xml:space="preserve"> </w:t>
      </w:r>
      <w:r>
        <w:t xml:space="preserve">(2,000) as the rest of this pipeline, and refits all 18 leave-one-study-out folds from that single resampled dataset, so a cohort that sits in several folds’ development sets contributes the identical resampled draw to every one of them rather than an independent draw per fold. Every cohort but Study S1 produced a finite, guarded calibration fit in at least 1,997 of the 2,000 replicates. Study S1 produced one in only 826 of 2,000, below the 1,000-replicate threshold this method uses to call a cohort identified, consistent with its position near the separation boundary already documented above (Table S2b) and in the main text (Study Limitations). Unlike the bootstrap in Table S2b, which drops a non-identified cohort from pooling entirely, this joint bootstrap’s headline figures in the Discussion (0.79 for the slope, 1.62 for the intercept) include Study S1’s 826 surviving replicates alongside the other 17 cohorts’ in every replicate where Study S1’s fold happened to converge. The two bootstraps therefore treat a non-identified cohort differently by design, not because the pooling rule changed between them: the per-cohort bootstrap reports a single pooled tau for which an unidentified cohort has no defensible sampling distribution to contribute, while the joint bootstrap’s replicate-level spread is defined over whichever folds converge in that replicate and does not require every cohort to converge in every replicate.</w:t>
      </w:r>
    </w:p>
    <w:p>
      <w:pPr>
        <w:pStyle w:val="BodyText"/>
      </w:pPr>
      <w:r>
        <w:t xml:space="preserve">The empirical covariance this joint bootstrap produces (</w:t>
      </w:r>
      <w:r>
        <w:rPr>
          <w:rStyle w:val="VerbatimChar"/>
        </w:rPr>
        <w:t xml:space="preserve">output/expanded/joint_bootstrap_covariance.csv</w:t>
      </w:r>
      <w:r>
        <w:t xml:space="preserve">,</w:t>
      </w:r>
      <w:r>
        <w:t xml:space="preserve"> </w:t>
      </w:r>
      <w:r>
        <w:rPr>
          <w:rStyle w:val="VerbatimChar"/>
        </w:rPr>
        <w:t xml:space="preserve">joint_bootstrap_correlation.csv</w:t>
      </w:r>
      <w:r>
        <w:t xml:space="preserve">) is not spread evenly across the 153 possible cohort pairs. Table S10 lists the eight strongest off-diagonal correlations between cohorts’ held-out calibration intercepts. Four cohorts, Study F, Study J, Study L and Study Q, appear in all eight pairs, six of which pair two of them against each other, so a small subset of cohorts recurs disproportionately rather than every pair contributing comparably. Cohort size is a partial explanation: Study F and Study L are two of the smallest cohorts in the archive by participant count, at 10 and 11 of 271 (Table 2), consistent with a small cohort’s resampled composition varying more from replicate to replicate and that variation propagating into every fold whose development set includes it. Study J and Study Q have 20 participants each, however, so cohort size alone does not account for the full pattern, and no single mechanism is asserted beyond the shared-development correlation this bootstrap was built to capture.</w:t>
      </w:r>
    </w:p>
    <w:p>
      <w:pPr>
        <w:pStyle w:val="BodyText"/>
      </w:pPr>
      <w:r>
        <w:rPr>
          <w:b/>
          <w:bCs/>
        </w:rPr>
        <w:t xml:space="preserve">Table S10. Strongest off-diagonal correlations between cohorts’ held-out calibration intercepts under the joint bootstrap.</w:t>
      </w:r>
      <w:r>
        <w:t xml:space="preserve"> </w:t>
      </w:r>
      <w:r>
        <w:t xml:space="preserve">Correlations are Pearson correlations of the 2,000 per-replicate intercept estimates for the two named cohorts’ leave-one-study-out folds. The full 36-by-36 term-by-term matrix, including the corresponding slope correlations, is</w:t>
      </w:r>
      <w:r>
        <w:t xml:space="preserve"> </w:t>
      </w:r>
      <w:r>
        <w:rPr>
          <w:rStyle w:val="VerbatimChar"/>
        </w:rPr>
        <w:t xml:space="preserve">output/expanded/joint_bootstrap_correlation.csv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Cohort pair</w:t>
            </w:r>
          </w:p>
        </w:tc>
        <w:tc>
          <w:tcPr/>
          <w:p>
            <w:pPr>
              <w:pStyle w:val="Compact"/>
              <w:jc w:val="right"/>
            </w:pPr>
            <w:r>
              <w:t xml:space="preserve">Correlation</w:t>
            </w:r>
          </w:p>
        </w:tc>
      </w:tr>
      <w:tr>
        <w:tc>
          <w:tcPr/>
          <w:p>
            <w:pPr>
              <w:pStyle w:val="Compact"/>
            </w:pPr>
            <w:r>
              <w:t xml:space="preserve">Study L and Study Q</w:t>
            </w:r>
          </w:p>
        </w:tc>
        <w:tc>
          <w:tcPr/>
          <w:p>
            <w:pPr>
              <w:pStyle w:val="Compact"/>
              <w:jc w:val="right"/>
            </w:pPr>
            <w:r>
              <w:t xml:space="preserve">0.361</w:t>
            </w:r>
          </w:p>
        </w:tc>
      </w:tr>
      <w:tr>
        <w:tc>
          <w:tcPr/>
          <w:p>
            <w:pPr>
              <w:pStyle w:val="Compact"/>
            </w:pPr>
            <w:r>
              <w:t xml:space="preserve">Study F and Study J</w:t>
            </w:r>
          </w:p>
        </w:tc>
        <w:tc>
          <w:tcPr/>
          <w:p>
            <w:pPr>
              <w:pStyle w:val="Compact"/>
              <w:jc w:val="right"/>
            </w:pPr>
            <w:r>
              <w:t xml:space="preserve">-0.311</w:t>
            </w:r>
          </w:p>
        </w:tc>
      </w:tr>
      <w:tr>
        <w:tc>
          <w:tcPr/>
          <w:p>
            <w:pPr>
              <w:pStyle w:val="Compact"/>
            </w:pPr>
            <w:r>
              <w:t xml:space="preserve">Study J and Study Q</w:t>
            </w:r>
          </w:p>
        </w:tc>
        <w:tc>
          <w:tcPr/>
          <w:p>
            <w:pPr>
              <w:pStyle w:val="Compact"/>
              <w:jc w:val="right"/>
            </w:pPr>
            <w:r>
              <w:t xml:space="preserve">-0.298</w:t>
            </w:r>
          </w:p>
        </w:tc>
      </w:tr>
      <w:tr>
        <w:tc>
          <w:tcPr/>
          <w:p>
            <w:pPr>
              <w:pStyle w:val="Compact"/>
            </w:pPr>
            <w:r>
              <w:t xml:space="preserve">Study F and Study L</w:t>
            </w:r>
          </w:p>
        </w:tc>
        <w:tc>
          <w:tcPr/>
          <w:p>
            <w:pPr>
              <w:pStyle w:val="Compact"/>
              <w:jc w:val="right"/>
            </w:pPr>
            <w:r>
              <w:t xml:space="preserve">0.276</w:t>
            </w:r>
          </w:p>
        </w:tc>
      </w:tr>
      <w:tr>
        <w:tc>
          <w:tcPr/>
          <w:p>
            <w:pPr>
              <w:pStyle w:val="Compact"/>
            </w:pPr>
            <w:r>
              <w:t xml:space="preserve">Study F and Study Q</w:t>
            </w:r>
          </w:p>
        </w:tc>
        <w:tc>
          <w:tcPr/>
          <w:p>
            <w:pPr>
              <w:pStyle w:val="Compact"/>
              <w:jc w:val="right"/>
            </w:pPr>
            <w:r>
              <w:t xml:space="preserve">0.267</w:t>
            </w:r>
          </w:p>
        </w:tc>
      </w:tr>
      <w:tr>
        <w:tc>
          <w:tcPr/>
          <w:p>
            <w:pPr>
              <w:pStyle w:val="Compact"/>
            </w:pPr>
            <w:r>
              <w:t xml:space="preserve">Study J and Study L</w:t>
            </w:r>
          </w:p>
        </w:tc>
        <w:tc>
          <w:tcPr/>
          <w:p>
            <w:pPr>
              <w:pStyle w:val="Compact"/>
              <w:jc w:val="right"/>
            </w:pPr>
            <w:r>
              <w:t xml:space="preserve">-0.263</w:t>
            </w:r>
          </w:p>
        </w:tc>
      </w:tr>
      <w:tr>
        <w:tc>
          <w:tcPr/>
          <w:p>
            <w:pPr>
              <w:pStyle w:val="Compact"/>
            </w:pPr>
            <w:r>
              <w:t xml:space="preserve">Study J and Study M</w:t>
            </w:r>
          </w:p>
        </w:tc>
        <w:tc>
          <w:tcPr/>
          <w:p>
            <w:pPr>
              <w:pStyle w:val="Compact"/>
              <w:jc w:val="right"/>
            </w:pPr>
            <w:r>
              <w:t xml:space="preserve">-0.262</w:t>
            </w:r>
          </w:p>
        </w:tc>
      </w:tr>
      <w:tr>
        <w:tc>
          <w:tcPr/>
          <w:p>
            <w:pPr>
              <w:pStyle w:val="Compact"/>
            </w:pPr>
            <w:r>
              <w:t xml:space="preserve">Study A and Study L</w:t>
            </w:r>
          </w:p>
        </w:tc>
        <w:tc>
          <w:tcPr/>
          <w:p>
            <w:pPr>
              <w:pStyle w:val="Compact"/>
              <w:jc w:val="right"/>
            </w:pPr>
            <w:r>
              <w:t xml:space="preserve">0.248</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(geometric mean)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planned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the archive’s own documented grid size and its documented use of a checkerboard-variant paradigm, alongside both empirical proxies for matrix size.</w:t>
      </w:r>
      <w:r>
        <w:t xml:space="preserve"> </w:t>
      </w:r>
      <w:r>
        <w:t xml:space="preserve">The largest target index and the number of distinct characters copied bound the alphabet actually spelled from below, and both were flat: 0.003 per standard deviation (p = 0.98) and -0.019 (p = 0.89), each leaving the residual between-cohort variance at or above its unmoderated value. The archive’s own descriptor documents an intended grid size (36 or 72 cells) and a stimulus paradigm per study; both were tested directly and were likewise flat: grid size at -0.061 per standard deviation (95% CI -0.343 to 0.222, p = 0.65, Holm p = 1.00) and the checkerboard-paradigm indicator at 0.176 (95% CI -0.072 to 0.423, p = 0.15, Holm p = 1.00), the latter nominally accounting for 15% of the between-cohort variance before correction. Neither test has meaningful power at this sample size: grid size takes only two values among these 18 cohorts and is confounded with ALS-cohort status (three of the four ALS cohorts use the 36-cell grid, the fourth the 72-cell grid), and the checkerboard indicator separates only 2 non-checkerboard cohorts from 16 checkerboard cohorts. The number of stimulus conditions was likewise flat (p = 0.84). Two descriptors had point estimates that were not negligible but were indistinguishable from zero once the ten tests were corrected for: the median number of selections per record at 12% (-0.215 per standard deviation, 95% CI -0.478 to 0.049, Holm p = 0.83) and the fraction of records at ceiling at 11% (0.289, 95% CI -0.022 to 0.599, Holm p = 0.60).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seven protocol descriptors together accounting for 42% of the between-cohort variance (F = 1.87 on 7 and 10 degrees of freedom, p = 0.18) and all ten for 14% (p = 0.39); the interval keeps its own coefficient in the seven-descriptor fit at 0.598 (p = 0.030), and loses it among all ten (p = 0.10), where 10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ten descriptors. The verdict does not depend on how the correction family is defined: the interval’s Holm p value is 0.011 within the seven protocol descriptors, 0.015 within all ten, and 0.029 when the meta-regression and the rank correlation are pooled into one family of twenty,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geometric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445"/>
        <w:gridCol w:w="542"/>
        <w:gridCol w:w="451"/>
        <w:gridCol w:w="451"/>
        <w:gridCol w:w="391"/>
        <w:gridCol w:w="391"/>
        <w:gridCol w:w="331"/>
        <w:gridCol w:w="451"/>
        <w:gridCol w:w="451"/>
        <w:gridCol w:w="572"/>
        <w:gridCol w:w="662"/>
        <w:gridCol w:w="873"/>
        <w:gridCol w:w="903"/>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Geometric mean across cohorts</w:t>
            </w:r>
          </w:p>
        </w:tc>
        <w:tc>
          <w:tcPr/>
          <w:p>
            <w:pPr>
              <w:pStyle w:val="Compact"/>
              <w:jc w:val="right"/>
            </w:pPr>
            <w:r>
              <w:t xml:space="preserve">Between-cohort SD of log(MAE)</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most summary columns, the largest of those being the pooled calibration slope at 0.960 against 0.967 and the between-cohort spread of that slope at 0.562 against 0.560. Two columns separate by more than that: the per-cohort slope range, 0.112 to 2.077 against 0.185 to 2.185, and the between-cohort MAE SD, which is computed on the log scale and reads 0.459 against 0.477, a gap of 0.018.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I²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I²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I²</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I²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the joint bootstrap of all 18 development folds,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w:t>
      </w:r>
      <w:r>
        <w:t xml:space="preserve"> </w:t>
      </w:r>
      <w:r>
        <w:rPr>
          <w:rStyle w:val="VerbatimChar"/>
        </w:rPr>
        <w:t xml:space="preserve">protocol_meta_regression.json</w:t>
      </w:r>
      <w:r>
        <w:t xml:space="preserve">,</w:t>
      </w:r>
      <w:r>
        <w:t xml:space="preserve"> </w:t>
      </w:r>
      <w:r>
        <w:rPr>
          <w:rStyle w:val="VerbatimChar"/>
        </w:rPr>
        <w:t xml:space="preserve">joint_bootstrap_covariance.csv</w:t>
      </w:r>
      <w:r>
        <w:t xml:space="preserve">,</w:t>
      </w:r>
      <w:r>
        <w:t xml:space="preserve"> </w:t>
      </w:r>
      <w:r>
        <w:rPr>
          <w:rStyle w:val="VerbatimChar"/>
        </w:rPr>
        <w:t xml:space="preserve">joint_bootstrap_correlation.csv</w:t>
      </w:r>
      <w:r>
        <w:t xml:space="preserve">,</w:t>
      </w:r>
      <w:r>
        <w:t xml:space="preserve"> </w:t>
      </w:r>
      <w:r>
        <w:rPr>
          <w:rStyle w:val="VerbatimChar"/>
        </w:rPr>
        <w:t xml:space="preserve">joint_bootstrap_replicate_diagnostics.csv</w:t>
      </w:r>
      <w:r>
        <w:t xml:space="preserve"> </w:t>
      </w:r>
      <w:r>
        <w:t xml:space="preserve">and</w:t>
      </w:r>
      <w:r>
        <w:t xml:space="preserve"> </w:t>
      </w:r>
      <w:r>
        <w:rPr>
          <w:rStyle w:val="VerbatimChar"/>
        </w:rPr>
        <w:t xml:space="preserve">joint_bootstrap_summary.json</w:t>
      </w:r>
      <w:r>
        <w:t xml:space="preserve">. The repository test suite contains 170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As detailed in S1, participant identifiers are scoped to each source study rather than to the archive as a whole, so cross-study participant overlap can be neither confirmed nor excluded from the archive’s documentation.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2026-07-28T17:14:10Z</dcterms:created>
  <dcterms:modified xsi:type="dcterms:W3CDTF">2026-07-28T17:14:10Z</dcterms:modified>
</cp:coreProperties>
</file>

<file path=docProps/custom.xml><?xml version="1.0" encoding="utf-8"?>
<Properties xmlns="http://schemas.openxmlformats.org/officeDocument/2006/custom-properties" xmlns:vt="http://schemas.openxmlformats.org/officeDocument/2006/docPropsVTypes"/>
</file>