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18 contributed at least one eligible online outcome, and two contributed none (Table 1). The analytic set contained 271 study-scoped participants, 410 participant-sessions, 739 participant-session-condition records, and 19,611 online character selections, of the 19,688 eligible selections in Table 1; the 77-selection difference is reconciled cohort by cohort in Table S1. The four ALS cohorts contributed 47 participants, 113 sessions, 194 records, and 3,318 selections. Observed session-condition accuracy averaged 0.851, and 228 of 739 records (30.9%) were at 100%, with three cohorts near ceiling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(widest: -0.42 to 0.86). Pooling sessions gave r = 0.716 (95% CI 0.665 to 0.760, n = 410, p &lt; 0.001); centring both variables within cohort, which removes cohort means but not differences in variance or precision, gave r = 0.677 (0.621 to 0.726, p &lt; 0.001), so the association is not produced by cohorts differing in mean difficulty and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This pools every withheld record and weights larger cohorts more heavily; the mean of the 18 cohort-level errors, reported next, is a different quantity. The character-weighted Brier score was 0.123 (95% CI 0.113 to 0.132), Brier skill 0.110 (95% CI 0.063 to 0.149), and character-weighted AUC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averaged 0.090 (geometric mean; arithmetic mean 0.101) with a between-cohort SD of 0.477 on the log scale, giving a 95% interval for the mean of 0.071 to 0.115 and a new-cohort interval of 0.032 to 0.254 (Figure 3). AUC averaged 0.713 across cohorts (new-cohort interval 0.491 to 0.935, lower bound chance); Brier skill averaged 0.174 (new-cohort interval -0.296 to 0.644). Every study-level summary here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The dashed line is the value a mapping that transported exactly would take (one for slope, zero for intercept); the band is the 95% interval for a cohort not represented in the archive, computed at tau’s point estimate, and the solid line within it is the pooled estimate. Intervals running past the axis are drawn with an arrow. Tau and I² are given beneath each panel; I² is descriptive only (Methods, Statistical Analysis).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observed accuracy, with point area increasing with the selections it rests on. The dashed line is equality; points above it are bins the mapping understated, points below are bins it overstated. The number in each panel is observed minus estimated accuracy across that cohort. The full 18-cohort version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observed cohorts; the lighter band is the 95% interval for a cohort not represented in the archive.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S2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S3),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S8).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S2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S7). The cohort-subset comparison restricted to the cohorts without a documented ALS population, shown alongside these checks in Table S7 for comparison rather than as one of the four, gave a consistent result as well. Every comparator predictor named in the Methods was run through the same procedure and is reported in full in Table S9;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S12), vary by a coefficient of variation of 2.5% and 3.3% respectively across folds, against 49.4% for the held-out cohort-specific validated slopes in Table S2.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https://github.com/Alon-Gorenshtein/study_bigp3_als_calibration (commit eaabf263425c19494d8fcaf27c84ca86ab5122ef);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2026-07-29T13:21:27Z</dcterms:created>
  <dcterms:modified xsi:type="dcterms:W3CDTF">2026-07-29T13:21:27Z</dcterms:modified>
</cp:coreProperties>
</file>

<file path=docProps/custom.xml><?xml version="1.0" encoding="utf-8"?>
<Properties xmlns="http://schemas.openxmlformats.org/officeDocument/2006/custom-properties" xmlns:vt="http://schemas.openxmlformats.org/officeDocument/2006/docPropsVTypes"/>
</file>