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9.png" ContentType="image/png"/>
  <Override PartName="/word/media/rId48.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p>
      <w:pPr>
        <w:pStyle w:val="BodyText"/>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subsequent online P300-speller accuracy,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targeted primary subgroup. The predictor was calibration-derived decoder discriminability, the cross-validated discriminability of a classifier fitted to calibration epochs only.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(95% CI 0.60 to 1.51) and a 95% interval for an unrepresented cohort of -1.97 to 1.85, spanning mappings that badly understate and badly overstate accuracy. The slope agreed and was itself imprecisely estimated: tau 0.43 (0.30 to 0.77), unrepresented-cohort interval 0.111 to 2.005; the median time per selection, the archive’s only trace of the stopping rule, accounted for two thirds of that between-cohort variance (Holm-corrected p = 0.012).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subsequent accuracy,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subsequent online session accuracy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targeted primary subgroup.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primary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These were the originally targeted primary subgroup, fixed before the design was widened beyond them. The remaining cohorts carry no documented ALS population and are described here as other cohorts rather than as healthy or control cohorts, because the documentation does not support a positive characterisation.</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Eight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proxies for the size of the speller matrix;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eight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35"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 ρ =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28"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(Table 2),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which are what a reader would compute from Table 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bookmarkEnd w:id="28"/>
    <w:bookmarkStart w:id="29"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targeted primary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29"/>
    <w:bookmarkStart w:id="30"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30"/>
    <w:bookmarkStart w:id="31"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Table 2 sums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31"/>
    <w:bookmarkStart w:id="32" w:name="protocol-descriptors-as-moderators"/>
    <w:p>
      <w:pPr>
        <w:pStyle w:val="Heading3"/>
      </w:pPr>
      <w:r>
        <w:t xml:space="preserve">Protocol Descriptors as Moderators</w:t>
      </w:r>
    </w:p>
    <w:p>
      <w:pPr>
        <w:pStyle w:val="FirstParagraph"/>
      </w:pPr>
      <w:r>
        <w:rPr>
          <w:b/>
          <w:bCs/>
        </w:rPr>
        <w:t xml:space="preserve">The time a cohort took over each selection accounted for two thirds of the between-cohort variance in calibration slope.</w:t>
      </w:r>
      <w:r>
        <w:t xml:space="preserve"> </w:t>
      </w:r>
      <w:r>
        <w:t xml:space="preserve">Eight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eight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0.012), reducing the between-cohort variance of the slope from tau squared = 0.187 to 0.063, a share of 66%, equivalently a residual between-cohort standard deviation of 0.25 against 0.43. The rank correlation agreed at rho = 0.72 (p &lt; 0.001, Holm p = 0.006),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rPr>
          <w:b/>
          <w:bCs/>
        </w:rPr>
        <w:t xml:space="preserve">No other descriptor accounted for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32"/>
    <w:bookmarkStart w:id="33"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33"/>
    <w:bookmarkStart w:id="34" w:name="sensitivity-analyses"/>
    <w:p>
      <w:pPr>
        <w:pStyle w:val="Heading3"/>
      </w:pPr>
      <w:r>
        <w:t xml:space="preserve">Sensitivity Analyses</w:t>
      </w:r>
    </w:p>
    <w:p>
      <w:pPr>
        <w:pStyle w:val="FirstParagraph"/>
      </w:pPr>
      <w:r>
        <w:t xml:space="preserve">Results were similar when records with fewer than 10 eligible selections were excluded (mean absolute error 0.090, between-cohort standard deviation 0.477). Restricting to the 12 cohorts whose session accuracy varied by at least 0.10 raised the mean absolute error to 0.117 and the uncorrected calibration-slope standard deviation to 0.601, indicating that near-ceiling cohorts contributed low error for reasons unrelated to the predictor. Excluding records in which more than 20% of calibration epochs were rejected lowered the mean absolute error to 0.081 and the uncorrected calibration-slope standard deviation to 0.465, the only analysis in which transportability improved. Analysing the 14 cohorts without a documented ALS population gave a mean absolute error of 0.089 with a new-cohort interval of 0.029 to 0.274 and an uncorrected calibration-slope standard deviation of 0.663. These four analyses report the uncorrected spread rather than tau, because each is a re-run of the primary summary on retained data rather than a refitted meta-analysis.</w:t>
      </w:r>
    </w:p>
    <w:p>
      <w:pPr>
        <w:pStyle w:val="BodyText"/>
      </w:pPr>
      <w:r>
        <w:rPr>
          <w:b/>
          <w:bCs/>
        </w:rPr>
        <w:t xml:space="preserve">Withholding two cohorts at a time, so that development ran on 16 cohorts rather than 17, reproduced the primary result across all 153 splits (Table S4).</w:t>
      </w:r>
      <w:r>
        <w:t xml:space="preserve"> </w:t>
      </w:r>
      <w:r>
        <w:t xml:space="preserve">Mean absolute error was 0.0906 against 0.0905, its between-cohort standard deviation 0.4771 against 0.4771, and the uncorrected calibration-slope standard deviation 0.5599 against 0.5596; the three agree to three decimal places. Neither the estimation error nor the between-cohort spread depends on the larger development set, so the failure of the mapping to transport is not a consequence of how many cohorts it was fitted on, at least across this range.</w:t>
      </w:r>
    </w:p>
    <w:p>
      <w:pPr>
        <w:pStyle w:val="BodyText"/>
      </w:pPr>
      <w:r>
        <w:t xml:space="preserve">Every comparator predictor named in the Methods was run through the same withheld-cohort procedure (Table S6). The regularised linear discriminant computed from the identical features agreed with the primary score to within 0.007 on every summary column, including a between-cohort calibration-slope standard deviation of 0.562 against 0.560, so the result reflects how separable the calibration data are rather than the classifier family used to measure it. Calibration classification accuracy cost little in pooled error, 0.106 against 0.098, but doubled the calibration-slope spread to 1.104. The two amplitude contrasts did not separate outcomes in cohorts they were not developed on, at areas under the curve of 0.517 and 0.465, the second below chance. The exploratory model adding ALSFRS-R could be fitted only in the 3 cohorts and 138 records carrying an observed value, and against the primary score run on those same records it changed nothing, at a pooled error of 0.085 for both.</w:t>
      </w:r>
    </w:p>
    <w:bookmarkEnd w:id="34"/>
    <w:bookmarkEnd w:id="35"/>
    <w:bookmarkStart w:id="38" w:name="discussion"/>
    <w:p>
      <w:pPr>
        <w:pStyle w:val="Heading2"/>
      </w:pPr>
      <w:r>
        <w:t xml:space="preserve">Discussion</w:t>
      </w:r>
    </w:p>
    <w:p>
      <w:pPr>
        <w:pStyle w:val="FirstParagraph"/>
      </w:pPr>
      <w:r>
        <w:t xml:space="preserve">Across 18 independent P300-speller cohorts, the discriminability of a classifier fitted to a session’s calibration block was related to that session’s subsequent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because the number of calibration files, surviving epochs and cross-validation folds differ. The median number of calibration files per session ranges from 3 to 15 across cohorts, the median number of surviving calibration epochs from 1,479 to 12,910, and the standard error of the score itself from 0.008 to 0.031, a fourfold spread. Measurement error in a predictor attenuates a fitted slope, so some of the between-cohort variation in calibration is attributable to how precisely the score itself was estimated rather than to a difference in the underlying relationship. The three cohorts with the lowest calibration slopes, StudyH at 0.185, StudyJ at 0.326 and StudyK at 0.480, are also the three whose score was least precisely estimated, at standard errors of 0.031, 0.023 and 0.026 against a median of 0.013. Three cohorts cannot separate that mechanism from chance, and it is not a competing explanation that collecting more cohorts would address, so it was quantified directly instead (supplement, S9). Each cohort’s reliability ratio, the share of the observed between-session variance in its calibration score that is signal rather than measurement error, ran from 0.848 to 0.992 with a median of 0.976, and 16 of the 18 cohorts were at or above 0.95. Correcting every cohort’s slope for attenuation by its own reliability moved the between-cohort standard deviation from tau = 0.432 to 0.422 and I-squared from 79.1 to 77.2, and widened rather than narrowed the observed slope range of 0.185 to 2.185, to 0.218 to 2.292. Because that correction rests on a standard error that assumes independent calibration epochs, and the epochs are not independent, it was repeated with the assumed error variance inflated to 6.5 times that value, just short of the point at which one cohort’s reliability would stop being identified; I-squared was still 66.9 and the Q test still gave p = 2.6 x 10^-5. Measurement error in the predictor is therefore a real but minor part of the between-cohort spread and does not account for the failure of the mapping to transport.</w:t>
      </w:r>
    </w:p>
    <w:p>
      <w:pPr>
        <w:pStyle w:val="BodyText"/>
      </w:pPr>
      <w:r>
        <w:t xml:space="preserve">Part of that variation is now attributable to a protocol difference rather than to the cohorts themselves. The time each cohort took over a selection, which is the archive’s only trace of the stopping rule, accounted for two thirds of the between-cohort variance in the calibration slope, leaving a residual between-cohort standard deviation of 0.25 against 0.43 unmoderated. That does not restore transportability, for two reasons. A mapping whose slope depends on the stopping rule is still not one that can be carried to a site whose stopping rule is unknown, and knowing it is not the same as being able to correct for it, since the correction estimated here rests on 18 cohorts and on a descriptor that is itself partly determined by the recording wherever stopping was data-dependent. What the result does change is the interpretation of the residual spread: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2. The between-cohort spread this paper reports therefore reflects how each fold’s mapping performs in the cohort withheld from it, not instability in what each fold fits, evidence against development-fit noise as an alternative explanation for the heterogeneity.</w:t>
      </w:r>
    </w:p>
    <w:p>
      <w:pPr>
        <w:pStyle w:val="BodyText"/>
      </w:pPr>
      <w:r>
        <w:t xml:space="preserve">The comparison between the four ALS cohorts and the full archive is itself a result. Analysed alone, the ALS cohorts gave a calibration slope of 0.985 with an uncorrected between-cohort standard deviation of 0.223 and a favourable Brier skill of 0.303. Analysed alongside 14 further cohorts, the uncorrected standard deviation of the slope was 0.560 and Brier skill fell to 0.110. Four cohorts were not merely too few to estimate the spread; they happened to be homogeneous and favourable, and the resulting picture was optimistic in a direction that only became visible with more cohorts. Evaluating a brain-computer interface mapping on a small number of withheld cohorts should be expected to understate how much performance will vary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concrete step,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36"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which is the signature of the stopping rule and accounted for two thirds of the between-cohort variance in calibration slope, and the range of target indices, which bounds the speller alphabet from below and accounted for no share distinguishable from zero. What remains untestable is the stopping algorithm and the thresholds it used, the matrix dimensions and layout,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coefficients that varied widely across folds despite that shared training data would themselves be evidence of fold-to-fold instability, and they do not, but it does not remove the correlation itself, which a joint bootstrap of the full leave-one-study-out pipeline would be needed to fully characterise.</w:t>
      </w:r>
    </w:p>
    <w:p>
      <w:pPr>
        <w:pStyle w:val="BodyText"/>
      </w:pPr>
      <w:r>
        <w:t xml:space="preserve">Tenth, the between-cohort variance is itself estimated with limited precision. Eighteen cohorts, of 5 to 24 participants each, leave the interval for tau wide on both parameters, and a cluster-robust variance at those cluster counts is downward-biased, which inflates tau and I-squared in the direction that favours the conclusion drawn here. The conclusion was therefore checked against that bias rather than assumed to survive it: it holds at the lower confidence limit of tau for both parameters, and the intercept’s prediction interval remains wide when every within-cohort variance is inflated fivefold. What cannot be settled at this number of cohorts is the size of the heterogeneity, only that a single fitted mapping does not describe these cohorts. It was also checked against a participant-cluster bootstrap that makes no asymptotic assumption at all: re-estimating each cohort’s intercept and slope standard error from 2,000 cluster-resampled refits identified 17 of the 18 cohorts, StudyS1’s resamples having fallen onto the separation boundary too often to leave an identified estimate, and gave tau = 0.37 for the slope and tau = 0.77 for the intercept, against 0.43 and 0.87 under the clustered sandwich. Those bootstrap tau values are smaller rather than larger, so this particular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already reported above, so the conclusion holds under this correction as well.</w:t>
      </w:r>
    </w:p>
    <w:bookmarkEnd w:id="36"/>
    <w:bookmarkStart w:id="37" w:name="conclusion"/>
    <w:p>
      <w:pPr>
        <w:pStyle w:val="Heading3"/>
      </w:pPr>
      <w:r>
        <w:t xml:space="preserve">Conclusion</w:t>
      </w:r>
    </w:p>
    <w:p>
      <w:pPr>
        <w:pStyle w:val="FirstParagraph"/>
      </w:pPr>
      <w:r>
        <w:t xml:space="preserve">In 18 independent P300-speller cohorts, calibration-derived decoder discriminability was related to subsequent online spelling accuracy,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A calibration score may support ranking sessions within a setting and may support a data-quality screen, and it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37"/>
    <w:bookmarkEnd w:id="38"/>
    <w:bookmarkStart w:id="51" w:name="tables-and-figure-legends"/>
    <w:p>
      <w:pPr>
        <w:pStyle w:val="Heading2"/>
      </w:pPr>
      <w:r>
        <w:t xml:space="preserve">Tables and Figure Legends</w:t>
      </w:r>
    </w:p>
    <w:p>
      <w:pPr>
        <w:pStyle w:val="FirstParagraph"/>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rPr>
          <w:b/>
          <w:bCs/>
        </w:rPr>
        <w:t xml:space="preserve">Table 2. Per-cohort composition and withheld-cohort performance.</w:t>
      </w:r>
      <w:r>
        <w:t xml:space="preserve"> </w:t>
      </w:r>
      <w:r>
        <w:t xml:space="preserve">For each of the 18 contributing cohorts: participants, records, analysed selections, mean observed session-condition accuracy, and, when that cohort was withheld from model development, the mean absolute error, character-weighted area under the curve, and calibration intercept and slope. Calibration intercepts and slopes are from the primary cluster-robust specification, with standard errors clustered on participant. ALS cohorts are listed first. The calibration slope ranges from 0.185 to 2.185 and the intercept from -2.169 to 1.995; four slope confidence intervals include zero.</w:t>
      </w:r>
    </w:p>
    <w:tbl>
      <w:tblPr>
        <w:tblStyle w:val="Table"/>
        <w:tblW w:type="pct" w:w="5000"/>
        <w:tblLayout w:type="fixed"/>
        <w:tblLook w:firstRow="1" w:lastRow="0" w:firstColumn="0" w:lastColumn="0" w:noHBand="0" w:noVBand="0" w:val="0020"/>
      </w:tblPr>
      <w:tblGrid>
        <w:gridCol w:w="698"/>
        <w:gridCol w:w="931"/>
        <w:gridCol w:w="931"/>
        <w:gridCol w:w="931"/>
        <w:gridCol w:w="931"/>
        <w:gridCol w:w="931"/>
        <w:gridCol w:w="931"/>
        <w:gridCol w:w="931"/>
        <w:gridCol w:w="698"/>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c>
          <w:tcPr/>
          <w:p>
            <w:pPr>
              <w:pStyle w:val="Compact"/>
              <w:jc w:val="right"/>
            </w:pPr>
            <w:r>
              <w:t xml:space="preserve">Calib. intercept</w:t>
            </w:r>
          </w:p>
        </w:tc>
        <w:tc>
          <w:tcPr/>
          <w:p>
            <w:pPr>
              <w:pStyle w:val="Compact"/>
            </w:pPr>
            <w:r>
              <w:t xml:space="preserve">Calib. slope (95% CI)</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c>
          <w:tcPr/>
          <w:p>
            <w:pPr>
              <w:pStyle w:val="Compact"/>
              <w:jc w:val="right"/>
            </w:pPr>
            <w:r>
              <w:t xml:space="preserve">-0.154</w:t>
            </w:r>
          </w:p>
        </w:tc>
        <w:tc>
          <w:tcPr/>
          <w:p>
            <w:pPr>
              <w:pStyle w:val="Compact"/>
            </w:pPr>
            <w:r>
              <w:t xml:space="preserve">1.578 (0.691 to 2.464)</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c>
          <w:tcPr/>
          <w:p>
            <w:pPr>
              <w:pStyle w:val="Compact"/>
              <w:jc w:val="right"/>
            </w:pPr>
            <w:r>
              <w:t xml:space="preserve">-0.932</w:t>
            </w:r>
          </w:p>
        </w:tc>
        <w:tc>
          <w:tcPr/>
          <w:p>
            <w:pPr>
              <w:pStyle w:val="Compact"/>
            </w:pPr>
            <w:r>
              <w:t xml:space="preserve">1.418 (1.205 to 1.631)</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c>
          <w:tcPr/>
          <w:p>
            <w:pPr>
              <w:pStyle w:val="Compact"/>
              <w:jc w:val="right"/>
            </w:pPr>
            <w:r>
              <w:t xml:space="preserve">-1.088</w:t>
            </w:r>
          </w:p>
        </w:tc>
        <w:tc>
          <w:tcPr/>
          <w:p>
            <w:pPr>
              <w:pStyle w:val="Compact"/>
            </w:pPr>
            <w:r>
              <w:t xml:space="preserve">1.775 (1.413 to 2.137)</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c>
          <w:tcPr/>
          <w:p>
            <w:pPr>
              <w:pStyle w:val="Compact"/>
              <w:jc w:val="right"/>
            </w:pPr>
            <w:r>
              <w:t xml:space="preserve">-0.671</w:t>
            </w:r>
          </w:p>
        </w:tc>
        <w:tc>
          <w:tcPr/>
          <w:p>
            <w:pPr>
              <w:pStyle w:val="Compact"/>
            </w:pPr>
            <w:r>
              <w:t xml:space="preserve">1.145 (0.681 to 1.609)</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c>
          <w:tcPr/>
          <w:p>
            <w:pPr>
              <w:pStyle w:val="Compact"/>
              <w:jc w:val="right"/>
            </w:pPr>
            <w:r>
              <w:t xml:space="preserve">-2.169</w:t>
            </w:r>
          </w:p>
        </w:tc>
        <w:tc>
          <w:tcPr/>
          <w:p>
            <w:pPr>
              <w:pStyle w:val="Compact"/>
            </w:pPr>
            <w:r>
              <w:t xml:space="preserve">1.999 (1.375 to 2.622)</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c>
          <w:tcPr/>
          <w:p>
            <w:pPr>
              <w:pStyle w:val="Compact"/>
              <w:jc w:val="right"/>
            </w:pPr>
            <w:r>
              <w:t xml:space="preserve">+0.389</w:t>
            </w:r>
          </w:p>
        </w:tc>
        <w:tc>
          <w:tcPr/>
          <w:p>
            <w:pPr>
              <w:pStyle w:val="Compact"/>
            </w:pPr>
            <w:r>
              <w:t xml:space="preserve">0.839 (0.461 to 1.217)</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c>
          <w:tcPr/>
          <w:p>
            <w:pPr>
              <w:pStyle w:val="Compact"/>
              <w:jc w:val="right"/>
            </w:pPr>
            <w:r>
              <w:t xml:space="preserve">+0.950</w:t>
            </w:r>
          </w:p>
        </w:tc>
        <w:tc>
          <w:tcPr/>
          <w:p>
            <w:pPr>
              <w:pStyle w:val="Compact"/>
            </w:pPr>
            <w:r>
              <w:t xml:space="preserve">0.782 (0.214 to 1.351)</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c>
          <w:tcPr/>
          <w:p>
            <w:pPr>
              <w:pStyle w:val="Compact"/>
              <w:jc w:val="right"/>
            </w:pPr>
            <w:r>
              <w:t xml:space="preserve">-1.029</w:t>
            </w:r>
          </w:p>
        </w:tc>
        <w:tc>
          <w:tcPr/>
          <w:p>
            <w:pPr>
              <w:pStyle w:val="Compact"/>
            </w:pPr>
            <w:r>
              <w:t xml:space="preserve">1.399 (0.957 to 1.840)</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c>
          <w:tcPr/>
          <w:p>
            <w:pPr>
              <w:pStyle w:val="Compact"/>
              <w:jc w:val="right"/>
            </w:pPr>
            <w:r>
              <w:t xml:space="preserve">+1.705</w:t>
            </w:r>
          </w:p>
        </w:tc>
        <w:tc>
          <w:tcPr/>
          <w:p>
            <w:pPr>
              <w:pStyle w:val="Compact"/>
            </w:pPr>
            <w:r>
              <w:t xml:space="preserve">0.185 (-0.289 to 0.659)</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c>
          <w:tcPr/>
          <w:p>
            <w:pPr>
              <w:pStyle w:val="Compact"/>
              <w:jc w:val="right"/>
            </w:pPr>
            <w:r>
              <w:t xml:space="preserve">-0.504</w:t>
            </w:r>
          </w:p>
        </w:tc>
        <w:tc>
          <w:tcPr/>
          <w:p>
            <w:pPr>
              <w:pStyle w:val="Compact"/>
            </w:pPr>
            <w:r>
              <w:t xml:space="preserve">1.044 (0.170 to 1.917)</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c>
          <w:tcPr/>
          <w:p>
            <w:pPr>
              <w:pStyle w:val="Compact"/>
              <w:jc w:val="right"/>
            </w:pPr>
            <w:r>
              <w:t xml:space="preserve">+0.491</w:t>
            </w:r>
          </w:p>
        </w:tc>
        <w:tc>
          <w:tcPr/>
          <w:p>
            <w:pPr>
              <w:pStyle w:val="Compact"/>
            </w:pPr>
            <w:r>
              <w:t xml:space="preserve">0.326 (-0.063 to 0.716)</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c>
          <w:tcPr/>
          <w:p>
            <w:pPr>
              <w:pStyle w:val="Compact"/>
              <w:jc w:val="right"/>
            </w:pPr>
            <w:r>
              <w:t xml:space="preserve">+0.727</w:t>
            </w:r>
          </w:p>
        </w:tc>
        <w:tc>
          <w:tcPr/>
          <w:p>
            <w:pPr>
              <w:pStyle w:val="Compact"/>
            </w:pPr>
            <w:r>
              <w:t xml:space="preserve">0.480 (-0.193 to 1.153)</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c>
          <w:tcPr/>
          <w:p>
            <w:pPr>
              <w:pStyle w:val="Compact"/>
              <w:jc w:val="right"/>
            </w:pPr>
            <w:r>
              <w:t xml:space="preserve">+0.477</w:t>
            </w:r>
          </w:p>
        </w:tc>
        <w:tc>
          <w:tcPr/>
          <w:p>
            <w:pPr>
              <w:pStyle w:val="Compact"/>
            </w:pPr>
            <w:r>
              <w:t xml:space="preserve">0.888 (0.480 to 1.297)</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c>
          <w:tcPr/>
          <w:p>
            <w:pPr>
              <w:pStyle w:val="Compact"/>
              <w:jc w:val="right"/>
            </w:pPr>
            <w:r>
              <w:t xml:space="preserve">+0.505</w:t>
            </w:r>
          </w:p>
        </w:tc>
        <w:tc>
          <w:tcPr/>
          <w:p>
            <w:pPr>
              <w:pStyle w:val="Compact"/>
            </w:pPr>
            <w:r>
              <w:t xml:space="preserve">0.583 (0.079 to 1.087)</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c>
          <w:tcPr/>
          <w:p>
            <w:pPr>
              <w:pStyle w:val="Compact"/>
              <w:jc w:val="right"/>
            </w:pPr>
            <w:r>
              <w:t xml:space="preserve">-0.094</w:t>
            </w:r>
          </w:p>
        </w:tc>
        <w:tc>
          <w:tcPr/>
          <w:p>
            <w:pPr>
              <w:pStyle w:val="Compact"/>
            </w:pPr>
            <w:r>
              <w:t xml:space="preserve">1.108 (0.844 to 1.371)</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c>
          <w:tcPr/>
          <w:p>
            <w:pPr>
              <w:pStyle w:val="Compact"/>
              <w:jc w:val="right"/>
            </w:pPr>
            <w:r>
              <w:t xml:space="preserve">+1.278</w:t>
            </w:r>
          </w:p>
        </w:tc>
        <w:tc>
          <w:tcPr/>
          <w:p>
            <w:pPr>
              <w:pStyle w:val="Compact"/>
            </w:pPr>
            <w:r>
              <w:t xml:space="preserve">0.763 (0.359 to 1.166)</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c>
          <w:tcPr/>
          <w:p>
            <w:pPr>
              <w:pStyle w:val="Compact"/>
              <w:jc w:val="right"/>
            </w:pPr>
            <w:r>
              <w:t xml:space="preserve">+1.995</w:t>
            </w:r>
          </w:p>
        </w:tc>
        <w:tc>
          <w:tcPr/>
          <w:p>
            <w:pPr>
              <w:pStyle w:val="Compact"/>
            </w:pPr>
            <w:r>
              <w:t xml:space="preserve">1.312 (-0.216 to 2.840)</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c>
          <w:tcPr/>
          <w:p>
            <w:pPr>
              <w:pStyle w:val="Compact"/>
              <w:jc w:val="right"/>
            </w:pPr>
            <w:r>
              <w:t xml:space="preserve">-2.022</w:t>
            </w:r>
          </w:p>
        </w:tc>
        <w:tc>
          <w:tcPr/>
          <w:p>
            <w:pPr>
              <w:pStyle w:val="Compact"/>
            </w:pPr>
            <w:r>
              <w:t xml:space="preserve">2.185 (1.215 to 3.154)</w:t>
            </w:r>
          </w:p>
        </w:tc>
      </w:tr>
    </w:tbl>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rPr>
          <w:b/>
          <w:bCs/>
        </w:rPr>
        <w:t xml:space="preserve">Figure 2. Observed against estimated session accuracy, one panel per withheld cohort.</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mean across the observed cohorts; the lighter band is the 95% interval for a cohort not represented in the archive. The two answer different questions and only the second describes what a reader should expect in their own setting.</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5334000" cy="3408326"/>
            <wp:effectExtent b="0" l="0" r="0" t="0"/>
            <wp:docPr descr="" title="" id="40" name="Picture"/>
            <a:graphic>
              <a:graphicData uri="http://schemas.openxmlformats.org/drawingml/2006/picture">
                <pic:pic>
                  <pic:nvPicPr>
                    <pic:cNvPr descr="../output/expanded/figures/figure_calibration_forest.png" id="41" name="Picture"/>
                    <pic:cNvPicPr>
                      <a:picLocks noChangeArrowheads="1" noChangeAspect="1"/>
                    </pic:cNvPicPr>
                  </pic:nvPicPr>
                  <pic:blipFill>
                    <a:blip r:embed="rId39"/>
                    <a:stretch>
                      <a:fillRect/>
                    </a:stretch>
                  </pic:blipFill>
                  <pic:spPr bwMode="auto">
                    <a:xfrm>
                      <a:off x="0" y="0"/>
                      <a:ext cx="5334000" cy="3408326"/>
                    </a:xfrm>
                    <a:prstGeom prst="rect">
                      <a:avLst/>
                    </a:prstGeom>
                    <a:noFill/>
                    <a:ln w="9525">
                      <a:noFill/>
                      <a:headEnd/>
                      <a:tailEnd/>
                    </a:ln>
                  </pic:spPr>
                </pic:pic>
              </a:graphicData>
            </a:graphic>
          </wp:inline>
        </w:drawing>
      </w:r>
    </w:p>
    <w:p>
      <w:pPr>
        <w:pStyle w:val="BodyText"/>
      </w:pPr>
      <w:r>
        <w:drawing>
          <wp:inline>
            <wp:extent cx="5334000" cy="3250867"/>
            <wp:effectExtent b="0" l="0" r="0" t="0"/>
            <wp:docPr descr="" title="" id="43" name="Picture"/>
            <a:graphic>
              <a:graphicData uri="http://schemas.openxmlformats.org/drawingml/2006/picture">
                <pic:pic>
                  <pic:nvPicPr>
                    <pic:cNvPr descr="../output/expanded/figures/figure_calibration_curves.png" id="44" name="Picture"/>
                    <pic:cNvPicPr>
                      <a:picLocks noChangeArrowheads="1" noChangeAspect="1"/>
                    </pic:cNvPicPr>
                  </pic:nvPicPr>
                  <pic:blipFill>
                    <a:blip r:embed="rId42"/>
                    <a:stretch>
                      <a:fillRect/>
                    </a:stretch>
                  </pic:blipFill>
                  <pic:spPr bwMode="auto">
                    <a:xfrm>
                      <a:off x="0" y="0"/>
                      <a:ext cx="5334000" cy="3250867"/>
                    </a:xfrm>
                    <a:prstGeom prst="rect">
                      <a:avLst/>
                    </a:prstGeom>
                    <a:noFill/>
                    <a:ln w="9525">
                      <a:noFill/>
                      <a:headEnd/>
                      <a:tailEnd/>
                    </a:ln>
                  </pic:spPr>
                </pic:pic>
              </a:graphicData>
            </a:graphic>
          </wp:inline>
        </w:drawing>
      </w:r>
    </w:p>
    <w:p>
      <w:pPr>
        <w:pStyle w:val="BodyText"/>
      </w:pPr>
      <w:r>
        <w:drawing>
          <wp:inline>
            <wp:extent cx="4693920" cy="4361675"/>
            <wp:effectExtent b="0" l="0" r="0" t="0"/>
            <wp:docPr descr="" title="" id="46" name="Picture"/>
            <a:graphic>
              <a:graphicData uri="http://schemas.openxmlformats.org/drawingml/2006/picture">
                <pic:pic>
                  <pic:nvPicPr>
                    <pic:cNvPr descr="../output/expanded/figures/figure_transportability.png" id="47" name="Picture"/>
                    <pic:cNvPicPr>
                      <a:picLocks noChangeArrowheads="1" noChangeAspect="1"/>
                    </pic:cNvPicPr>
                  </pic:nvPicPr>
                  <pic:blipFill>
                    <a:blip r:embed="rId45"/>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drawing>
          <wp:inline>
            <wp:extent cx="4693920" cy="3764150"/>
            <wp:effectExtent b="0" l="0" r="0" t="0"/>
            <wp:docPr descr="" title="" id="49" name="Picture"/>
            <a:graphic>
              <a:graphicData uri="http://schemas.openxmlformats.org/drawingml/2006/picture">
                <pic:pic>
                  <pic:nvPicPr>
                    <pic:cNvPr descr="../output/expanded/figures/figure_skill_by_cohort.png" id="50" name="Picture"/>
                    <pic:cNvPicPr>
                      <a:picLocks noChangeArrowheads="1" noChangeAspect="1"/>
                    </pic:cNvPicPr>
                  </pic:nvPicPr>
                  <pic:blipFill>
                    <a:blip r:embed="rId48"/>
                    <a:stretch>
                      <a:fillRect/>
                    </a:stretch>
                  </pic:blipFill>
                  <pic:spPr bwMode="auto">
                    <a:xfrm>
                      <a:off x="0" y="0"/>
                      <a:ext cx="4693920" cy="3764150"/>
                    </a:xfrm>
                    <a:prstGeom prst="rect">
                      <a:avLst/>
                    </a:prstGeom>
                    <a:noFill/>
                    <a:ln w="9525">
                      <a:noFill/>
                      <a:headEnd/>
                      <a:tailEnd/>
                    </a:ln>
                  </pic:spPr>
                </pic:pic>
              </a:graphicData>
            </a:graphic>
          </wp:inline>
        </w:drawing>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39" Target="media/rId39.png" /><Relationship Type="http://schemas.openxmlformats.org/officeDocument/2006/relationships/image" Id="rId48" Target="media/rId48.png" /><Relationship Type="http://schemas.openxmlformats.org/officeDocument/2006/relationships/image" Id="rId45" Target="media/rId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2026-07-28T03:49:47Z</dcterms:created>
  <dcterms:modified xsi:type="dcterms:W3CDTF">2026-07-28T03:49:47Z</dcterms:modified>
</cp:coreProperties>
</file>

<file path=docProps/custom.xml><?xml version="1.0" encoding="utf-8"?>
<Properties xmlns="http://schemas.openxmlformats.org/officeDocument/2006/custom-properties" xmlns:vt="http://schemas.openxmlformats.org/officeDocument/2006/docPropsVTypes"/>
</file>