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0.090, between-cohort standard deviation 0.477). Restricting to the 12 cohorts whose session accuracy varied by at least 0.10 raised the mean absolute error to 0.117 and the uncorrected calibration-slope standard deviation to 0.601, indicating that near-ceiling cohorts contributed low error for reasons unrelated to the predictor. Excluding records in which more than 20% of calibration epochs were rejected lowered the mean absolute error to 0.081 and the uncorrected calibration-slope standard deviation to 0.465, the only analysis in which transportability improved. Analysing the 14 cohorts without a documented ALS population gave a mean absolute error of 0.089 with a new-cohort interval of 0.029 to 0.274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0.0906 against 0.0905, its between-cohort standard deviation 0.4771 against 0.4771,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drawing>
          <wp:inline>
            <wp:extent cx="5334000" cy="1339540"/>
            <wp:effectExtent b="0" l="0" r="0" t="0"/>
            <wp:docPr descr="" title="" id="43" name="Picture"/>
            <a:graphic>
              <a:graphicData uri="http://schemas.openxmlformats.org/drawingml/2006/picture">
                <pic:pic>
                  <pic:nvPicPr>
                    <pic:cNvPr descr="../output/expanded/figures/figure_calibration_curves_main.png" id="44" name="Picture"/>
                    <pic:cNvPicPr>
                      <a:picLocks noChangeArrowheads="1" noChangeAspect="1"/>
                    </pic:cNvPicPr>
                  </pic:nvPicPr>
                  <pic:blipFill>
                    <a:blip r:embed="rId42"/>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drawing>
          <wp:inline>
            <wp:extent cx="4693920" cy="4361675"/>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drawing>
          <wp:inline>
            <wp:extent cx="4693920" cy="3764150"/>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4693920" cy="3764150"/>
                    </a:xfrm>
                    <a:prstGeom prst="rect">
                      <a:avLst/>
                    </a:prstGeom>
                    <a:noFill/>
                    <a:ln w="9525">
                      <a:noFill/>
                      <a:headEnd/>
                      <a:tailEnd/>
                    </a:ln>
                  </pic:spPr>
                </pic:pic>
              </a:graphicData>
            </a:graphic>
          </wp:inline>
        </w:drawing>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2026-07-28T04:06:12Z</dcterms:created>
  <dcterms:modified xsi:type="dcterms:W3CDTF">2026-07-28T04:06:12Z</dcterms:modified>
</cp:coreProperties>
</file>

<file path=docProps/custom.xml><?xml version="1.0" encoding="utf-8"?>
<Properties xmlns="http://schemas.openxmlformats.org/officeDocument/2006/custom-properties" xmlns:vt="http://schemas.openxmlformats.org/officeDocument/2006/docPropsVTypes"/>
</file>