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Yiftach Barash, MD</w:t>
      </w:r>
      <w:r>
        <w:rPr>
          <w:vertAlign w:val="superscript"/>
        </w:rPr>
        <w:t xml:space="preserve">2,3</w:t>
      </w:r>
      <w:r>
        <w:t xml:space="preserve">; Eyal Klang, MD</w:t>
      </w:r>
      <w:r>
        <w:rPr>
          <w:vertAlign w:val="superscript"/>
        </w:rPr>
        <w:t xml:space="preserve">2,3</w:t>
      </w:r>
      <w:r>
        <w:t xml:space="preserve">; Oved Daniel, MD</w:t>
      </w:r>
      <w:r>
        <w:rPr>
          <w:vertAlign w:val="superscript"/>
        </w:rPr>
        <w:t xml:space="preserve">4</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the largest published evaluation of this relationship to date: 18 of 20 source studies yielded eligible online outcomes, contributing 271 participants, 739 session-condition records, and 19,611 character selections. Four cohorts document an amyotrophic lateral sclerosis (ALS) population.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benchmark of 0.146. Calibration did not transport: the intercept had tau 0.87, with a 95% interval for an unrepresented cohort of -1.97 to 1.85 on the log-odds scale, and the slope varied more than tenfold across cohorts (tau 0.43, unrepresented-cohort interval 0.111 to 2.005). A protocol proxy for the stopping rule, median time per selection, reduced the between-cohort slope variance by 66%.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p>
      <w:pPr>
        <w:pStyle w:val="BodyText"/>
      </w:pPr>
      <w:r>
        <w:rPr>
          <w:b/>
          <w:bCs/>
        </w:rPr>
        <w:t xml:space="preserve">Keywords:</w:t>
      </w:r>
      <w:r>
        <w:t xml:space="preserve"> </w:t>
      </w:r>
      <w:r>
        <w:t xml:space="preserve">brain-computer interface, P300 speller, calibration, transportability, external validation, heterogeneity, amyotrophic lateral sclerosis</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 A projected-accuracy measure built from flash-level data and a multi-feature predictor built from a separate rapid-serial-visual-presentation task have made related predictions from within-session or within-study data.[37,38]</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 To our knowledge, no published study has evaluated whether a calibration-derived score’s fitted mapping to online accuracy transports to a source study withheld from its development, as distinct from evaluating the score’s within-cohort association or its within-study discrimination.</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distinct P300-speller studies under a shared recording montage now make a larger number of withheld cohorts available.[18] A recent cross-dataset evaluation aligned P300 event-related-potential signals across independent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S12)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I²[31] and a 95% prediction interval for an unrepresented cohort accompany each. All 18 cohorts were fitted under the cluster, model and quasi-binomial specifications and none was dropped. Under the participant-cluster bootstrap check reported in the Discussion, Study 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I², so the I² reported below is an upper estimate: a 20% understatement of the within-cohort variances would put the slope I² below the conventional 75% threshold. I²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S6);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S3.</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I² are given beneath each panel; I²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I²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I²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S2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S3),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S8). Three distinct things produce those six. In Study H the model was less accurate than both benchmarks, and it is the same cohort that fails the development-mean benchmark. Four are cohorts whose observed accuracy sits high enough that their own mean already tracks nearly every record: in Study E, Study R, Study S2 and Study S1, accuracy averages 0.921, 0.963, 0.976 and 0.997 and the own-mean benchmark errs by 0.049, 0.047, 0.035 and 0.005, leaving little error for any predictor to reduce. Study S1 is the limiting case, where that near-zero denominator makes the ratio large and negative and not comparable with the rest. In the sixth, Study 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S2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S7). The cohort-subset comparison restricted to the cohorts without a documented ALS population, shown alongside these checks in Table S7 for comparison rather than as one of the four, gave a consistent result as well. Every comparator predictor named in the Methods was run through the same procedure and is reported in full in Table S9;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slope heterogeneity led to the same conclusion,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S12), vary by a coefficient of variation of 2.5% and 3.3% respectively across folds, against 49.4% for the held-out cohort-specific validated slopes in Table S2.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I²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the prediction interval for a cohort outside the archive does not exclude discrimination at chance or skill at or below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vailability-statement"/>
    <w:p>
      <w:pPr>
        <w:pStyle w:val="Heading2"/>
      </w:pPr>
      <w:r>
        <w:t xml:space="preserve">Data availability statement</w:t>
      </w:r>
    </w:p>
    <w:p>
      <w:pPr>
        <w:pStyle w:val="FirstParagraph"/>
      </w:pPr>
      <w:r>
        <w:t xml:space="preserve">BigP3BCI version 1.0.0 is publicly available (doi:10.13026/0byy-ry86). Analysis code and frozen outputs are available at https://github.com/Alon-Gorenshtein/study_bigp3_als_calibration (commit eaabf263425c19494d8fcaf27c84ca86ab5122ef); a versioned archive with its own DOI will be minted via Zenodo upon acceptance and this citation updated accordingly.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2026-07-29T12:44:33Z</dcterms:created>
  <dcterms:modified xsi:type="dcterms:W3CDTF">2026-07-29T12:44:33Z</dcterms:modified>
</cp:coreProperties>
</file>

<file path=docProps/custom.xml><?xml version="1.0" encoding="utf-8"?>
<Properties xmlns="http://schemas.openxmlformats.org/officeDocument/2006/custom-properties" xmlns:vt="http://schemas.openxmlformats.org/officeDocument/2006/docPropsVTypes"/>
</file>