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27 July 2026</w:t>
      </w:r>
    </w:p>
    <w:p>
      <w:pPr>
        <w:pStyle w:val="BodyText"/>
      </w:pPr>
      <w:r>
        <w:t xml:space="preserve">The Editors</w:t>
      </w:r>
      <w:r>
        <w:br/>
      </w:r>
      <w:r>
        <w:t xml:space="preserve">Journal of Neural Engineering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submit for your consideration as a Paper</w:t>
      </w:r>
      <w:r>
        <w:t xml:space="preserve"> </w:t>
      </w:r>
      <w:r>
        <w:t xml:space="preserve">“Calibration-derived decoder discriminability is associated with online P300-speller accuracy, but the fitted mapping does not transport across cohorts.”</w:t>
      </w:r>
      <w:r>
        <w:t xml:space="preserve"> </w:t>
      </w:r>
      <w:r>
        <w:t xml:space="preserve">A calibration-derived score has repeatedly been related to online P300-speller accuracy within the cohort where it was measured, including by Mainsah and colleagues in this journal (</w:t>
      </w:r>
      <w:r>
        <w:rPr>
          <w:i/>
          <w:iCs/>
        </w:rPr>
        <w:t xml:space="preserve">J Neural Eng</w:t>
      </w:r>
      <w:r>
        <w:t xml:space="preserve"> </w:t>
      </w:r>
      <w:r>
        <w:t xml:space="preserve">2016;13:066007), who derived speller accuracy analytically from a calibration-derived detectability index. This manuscript asks whether such a mapping, once fitted, transports to a cohort it has never seen.</w:t>
      </w:r>
    </w:p>
    <w:p>
      <w:pPr>
        <w:pStyle w:val="BodyText"/>
      </w:pPr>
      <w:r>
        <w:t xml:space="preserve">Using the public BigP3BCI archive, we evaluated a calibration-derived score across 18 source-study cohorts with a leave-one-study-out design (271 participants, 739 session-condition records, 19,611 selections), rather than within a single cohort, as every prior report has done. Each withheld cohort’s expected accuracy was estimated purely from the other 17.</w:t>
      </w:r>
    </w:p>
    <w:p>
      <w:pPr>
        <w:pStyle w:val="BodyText"/>
      </w:pPr>
      <w:r>
        <w:t xml:space="preserve">The association was positive in every withheld cohort, though precision varied enough that six of the eighteen 95% confidence intervals included zero; pooled at the participant level the relationship was precisely estimated (r = 0.714, p &lt; 0.001). The fitted mapping did not transport: the calibration intercept had a between-cohort standard deviation of tau = 0.87 (95% interval for an unrepresented cohort, -1.97 to 1.85 log-odds), and the slope showed the same pattern (tau = 0.43, interval 0.111 to 2.005). Both conclusions hold at the lower confidence limit of tau and under an independent bootstrap estimate. A four-cohort ALS-only subgroup gave a materially tighter, more favourable picture (uncorrected slope spread 0.223, against 0.560 across all 18), demonstrating how few-cohort evaluation understates real-world variability.</w:t>
      </w:r>
    </w:p>
    <w:p>
      <w:pPr>
        <w:pStyle w:val="BodyText"/>
      </w:pPr>
      <w:r>
        <w:t xml:space="preserve">The manuscript separates two claims often reported together: an association present in every cohort, and a mapping that transports between them. The score may support ranking sessions within a setting after local validation; it should not be used to report expected accuracy in a cohort where the mapping was not developed, without local recalibration.</w:t>
      </w:r>
    </w:p>
    <w:p>
      <w:pPr>
        <w:pStyle w:val="BodyText"/>
      </w:pPr>
      <w:r>
        <w:t xml:space="preserve">This manuscript is original, is not under consideration elsewhere, and has not been posted as a preprint. The authors declare no competing interests.</w:t>
      </w:r>
    </w:p>
    <w:p>
      <w:pPr>
        <w:pStyle w:val="BodyText"/>
      </w:pPr>
      <w:r>
        <w:t xml:space="preserve">Sincerely,</w:t>
      </w:r>
      <w:r>
        <w:br/>
      </w:r>
      <w:r>
        <w:t xml:space="preserve">Alon Gorenshtein, MD</w:t>
      </w:r>
      <w:r>
        <w:br/>
      </w:r>
      <w:r>
        <w:t xml:space="preserve">Department of Neurology, Beth Israel Deaconess Medical Center, Harvard Medical School</w:t>
      </w:r>
      <w:r>
        <w:br/>
      </w:r>
      <w:r>
        <w:t xml:space="preserve">agorensh@bidmc.harvard.edu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2026-07-29T21:38:04Z</dcterms:created>
  <dcterms:modified xsi:type="dcterms:W3CDTF">2026-07-29T21:38:04Z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