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0.100, between-cohort standard deviation 0.047). Restricting to the 12 cohorts whose session accuracy varied by at least 0.10 raised the mean absolute error to 0.124 and the uncorrected calibration-slope standard deviation to 0.601, indicating that near-ceiling cohorts contributed low error for reasons unrelated to the predictor. Excluding records in which more than 20% of calibration epochs were rejected lowered the mean absolute error to 0.087 and the uncorrected calibration-slope standard deviation to 0.465, the only analysis in which transportability improved. Analysing the 14 cohorts without a documented ALS population gave a mean absolute error of 0.101 with a new-cohort interval of -0.015 to 0.216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0.1007 against 0.1006, its between-cohort standard deviation 0.0473 against 0.0472,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0.101 to 0.087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2026-07-28T03:36:10Z</dcterms:created>
  <dcterms:modified xsi:type="dcterms:W3CDTF">2026-07-28T03:36:10Z</dcterms:modified>
</cp:coreProperties>
</file>

<file path=docProps/custom.xml><?xml version="1.0" encoding="utf-8"?>
<Properties xmlns="http://schemas.openxmlformats.org/officeDocument/2006/custom-properties" xmlns:vt="http://schemas.openxmlformats.org/officeDocument/2006/docPropsVTypes"/>
</file>