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 affiliations, corresponding author, funding, competing interests, and CRediT roles:</w:t>
      </w:r>
      <w:r>
        <w:t xml:space="preserve"> </w:t>
      </w:r>
      <w:r>
        <w:t xml:space="preserve">[to be completed by submitting authors]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every specification and none was dropped.</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The study involved no new data collection, participant contact, or intervention. The original source studies' ethics and consent statements are reported in the archive documentation. The submitting institution must confirm its own determination for this secondary analysis of a de-identified public archive.</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35"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28"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averaged 0.101 with a between-cohort standard deviation of 0.047, giving a 95% interval for the mean of 0.077 to 0.124 and a 95% interval for a cohort not represented in the archive of -0.002 to 0.203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8"/>
    <w:bookmarkStart w:id="29"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29"/>
    <w:bookmarkStart w:id="30"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0"/>
    <w:bookmarkStart w:id="31"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1"/>
    <w:bookmarkStart w:id="32"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2"/>
    <w:bookmarkStart w:id="33"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3"/>
    <w:bookmarkStart w:id="34"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0.100, between-cohort standard deviation 0.047). Restricting to the 12 cohorts whose session accuracy varied by at least 0.10 raised the mean absolute error to 0.124 and the uncorrected calibration-slope standard deviation to 0.601, indicating that near-ceiling cohorts contributed low error for reasons unrelated to the predictor. Excluding records in which more than 20% of calibration epochs were rejected lowered the mean absolute error to 0.087 and the uncorrected calibration-slope standard deviation to 0.465, the only analysis in which transportability improved. Analysing the 14 cohorts without a documented ALS population gave a mean absolute error of 0.101 with a new-cohort interval of -0.015 to 0.216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0.1007 against 0.1006, its between-cohort standard deviation 0.0473 against 0.0472,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4"/>
    <w:bookmarkEnd w:id="35"/>
    <w:bookmarkStart w:id="38"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-0.002 to 0.203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and it is not a competing explanation that collecting more cohorts would address, so it was quantified directly instead (supplement, S9). Each cohort's reliability ratio, the share of the observed between-session variance in its calibration score that is signal rather than measurement error, ran from 0.848 to 0.992 with a median of 0.976, and 16 of the 18 cohorts were at or above 0.95. Correcting every cohort's slope for attenuation by its own reliability moved the between-cohort standard deviation from tau = 0.432 to 0.422 and I-squared from 79.1 to 77.2, and widened rather than narrowed the observed slope range of 0.185 to 2.185, to 0.218 to 2.292. Because that correction rests on a standard error that assumes independent calibration epochs, and the epochs are not independent, it was repeated with the assumed error variance inflated to 6.5 times that value, just short of the point at which one cohort's reliability would stop being identified; I-squared was still 66.9 and the Q test still gave p = 2.6 x 10^-5. Measurement error in the predictor is therefore a real but minor part of the between-cohort spread and does not account for the failure of the mapping to transport.</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0.101 to 0.087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6"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w:t>
      </w:r>
    </w:p>
    <w:bookmarkEnd w:id="36"/>
    <w:bookmarkStart w:id="37"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7"/>
    <w:bookmarkEnd w:id="38"/>
    <w:bookmarkStart w:id="51"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2048"/>
        <w:gridCol w:w="1024"/>
        <w:gridCol w:w="1365"/>
        <w:gridCol w:w="1297"/>
        <w:gridCol w:w="2184"/>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560"/>
        <w:gridCol w:w="981"/>
        <w:gridCol w:w="630"/>
        <w:gridCol w:w="841"/>
        <w:gridCol w:w="1191"/>
        <w:gridCol w:w="490"/>
        <w:gridCol w:w="490"/>
        <w:gridCol w:w="1121"/>
        <w:gridCol w:w="1612"/>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one panel per withheld cohort.</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0" name="Picture"/>
            <a:graphic>
              <a:graphicData uri="http://schemas.openxmlformats.org/drawingml/2006/picture">
                <pic:pic>
                  <pic:nvPicPr>
                    <pic:cNvPr descr="../output/expanded/figures/figure_calibration_forest.png" id="41" name="Picture"/>
                    <pic:cNvPicPr>
                      <a:picLocks noChangeArrowheads="1" noChangeAspect="1"/>
                    </pic:cNvPicPr>
                  </pic:nvPicPr>
                  <pic:blipFill>
                    <a:blip r:embed="rId39"/>
                    <a:stretch>
                      <a:fillRect/>
                    </a:stretch>
                  </pic:blipFill>
                  <pic:spPr bwMode="auto">
                    <a:xfrm>
                      <a:off x="0" y="0"/>
                      <a:ext cx="5334000" cy="3408326"/>
                    </a:xfrm>
                    <a:prstGeom prst="rect">
                      <a:avLst/>
                    </a:prstGeom>
                    <a:noFill/>
                    <a:ln w="9525">
                      <a:noFill/>
                      <a:headEnd/>
                      <a:tailEnd/>
                    </a:ln>
                  </pic:spPr>
                </pic:pic>
              </a:graphicData>
            </a:graphic>
          </wp:inline>
        </w:drawing>
      </w:r>
      <w:r>
        <w:t xml:space="preserve">{width=100%}</w:t>
      </w:r>
    </w:p>
    <w:p>
      <w:pPr>
        <w:pStyle w:val="BodyText"/>
      </w:pPr>
      <w:r>
        <w:drawing>
          <wp:inline>
            <wp:extent cx="5334000" cy="3250867"/>
            <wp:effectExtent b="0" l="0" r="0" t="0"/>
            <wp:docPr descr="" title="" id="43" name="Picture"/>
            <a:graphic>
              <a:graphicData uri="http://schemas.openxmlformats.org/drawingml/2006/picture">
                <pic:pic>
                  <pic:nvPicPr>
                    <pic:cNvPr descr="../output/expanded/figures/figure_calibration_curves.png" id="44" name="Picture"/>
                    <pic:cNvPicPr>
                      <a:picLocks noChangeArrowheads="1" noChangeAspect="1"/>
                    </pic:cNvPicPr>
                  </pic:nvPicPr>
                  <pic:blipFill>
                    <a:blip r:embed="rId42"/>
                    <a:stretch>
                      <a:fillRect/>
                    </a:stretch>
                  </pic:blipFill>
                  <pic:spPr bwMode="auto">
                    <a:xfrm>
                      <a:off x="0" y="0"/>
                      <a:ext cx="5334000" cy="3250867"/>
                    </a:xfrm>
                    <a:prstGeom prst="rect">
                      <a:avLst/>
                    </a:prstGeom>
                    <a:noFill/>
                    <a:ln w="9525">
                      <a:noFill/>
                      <a:headEnd/>
                      <a:tailEnd/>
                    </a:ln>
                  </pic:spPr>
                </pic:pic>
              </a:graphicData>
            </a:graphic>
          </wp:inline>
        </w:drawing>
      </w:r>
      <w:r>
        <w:t xml:space="preserve">{width=100%}</w:t>
      </w:r>
    </w:p>
    <w:p>
      <w:pPr>
        <w:pStyle w:val="BodyText"/>
      </w:pPr>
      <w:r>
        <w:drawing>
          <wp:inline>
            <wp:extent cx="5334000" cy="4956449"/>
            <wp:effectExtent b="0" l="0" r="0" t="0"/>
            <wp:docPr descr="" title="" id="46" name="Picture"/>
            <a:graphic>
              <a:graphicData uri="http://schemas.openxmlformats.org/drawingml/2006/picture">
                <pic:pic>
                  <pic:nvPicPr>
                    <pic:cNvPr descr="../output/expanded/figures/figure_transportability.png" id="47" name="Picture"/>
                    <pic:cNvPicPr>
                      <a:picLocks noChangeArrowheads="1" noChangeAspect="1"/>
                    </pic:cNvPicPr>
                  </pic:nvPicPr>
                  <pic:blipFill>
                    <a:blip r:embed="rId45"/>
                    <a:stretch>
                      <a:fillRect/>
                    </a:stretch>
                  </pic:blipFill>
                  <pic:spPr bwMode="auto">
                    <a:xfrm>
                      <a:off x="0" y="0"/>
                      <a:ext cx="5334000" cy="4956449"/>
                    </a:xfrm>
                    <a:prstGeom prst="rect">
                      <a:avLst/>
                    </a:prstGeom>
                    <a:noFill/>
                    <a:ln w="9525">
                      <a:noFill/>
                      <a:headEnd/>
                      <a:tailEnd/>
                    </a:ln>
                  </pic:spPr>
                </pic:pic>
              </a:graphicData>
            </a:graphic>
          </wp:inline>
        </w:drawing>
      </w:r>
      <w:r>
        <w:t xml:space="preserve">{width=88%}</w:t>
      </w:r>
    </w:p>
    <w:p>
      <w:pPr>
        <w:pStyle w:val="BodyText"/>
      </w:pPr>
      <w:r>
        <w:drawing>
          <wp:inline>
            <wp:extent cx="5334000" cy="4277443"/>
            <wp:effectExtent b="0" l="0" r="0" t="0"/>
            <wp:docPr descr="" title="" id="49" name="Picture"/>
            <a:graphic>
              <a:graphicData uri="http://schemas.openxmlformats.org/drawingml/2006/picture">
                <pic:pic>
                  <pic:nvPicPr>
                    <pic:cNvPr descr="../output/expanded/figures/figure_skill_by_cohort.png" id="50" name="Picture"/>
                    <pic:cNvPicPr>
                      <a:picLocks noChangeArrowheads="1" noChangeAspect="1"/>
                    </pic:cNvPicPr>
                  </pic:nvPicPr>
                  <pic:blipFill>
                    <a:blip r:embed="rId48"/>
                    <a:stretch>
                      <a:fillRect/>
                    </a:stretch>
                  </pic:blipFill>
                  <pic:spPr bwMode="auto">
                    <a:xfrm>
                      <a:off x="0" y="0"/>
                      <a:ext cx="5334000" cy="4277443"/>
                    </a:xfrm>
                    <a:prstGeom prst="rect">
                      <a:avLst/>
                    </a:prstGeom>
                    <a:noFill/>
                    <a:ln w="9525">
                      <a:noFill/>
                      <a:headEnd/>
                      <a:tailEnd/>
                    </a:ln>
                  </pic:spPr>
                </pic:pic>
              </a:graphicData>
            </a:graphic>
          </wp:inline>
        </w:drawing>
      </w:r>
      <w:r>
        <w:t xml:space="preserve">{width=88%}</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[REPOSITORY URL TO BE INSERTED BY THE SUBMITTING AUTHORS]. The archive is not redistributed.</w:t>
      </w:r>
    </w:p>
    <w:bookmarkEnd w:id="52"/>
    <w:bookmarkStart w:id="53" w:name="references"/>
    <w:p>
      <w:pPr>
        <w:pStyle w:val="Heading2"/>
      </w:pPr>
      <w:r>
        <w:t xml:space="preserve">References</w:t>
      </w:r>
    </w:p>
    <w:p>
      <w:pPr>
        <w:pStyle w:val="Compact"/>
        <w:numPr>
          <w:ilvl w:val="0"/>
          <w:numId w:val="1001"/>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1"/>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1"/>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1"/>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1"/>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1"/>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1"/>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1"/>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1"/>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1"/>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1"/>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1"/>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1"/>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1"/>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1"/>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1"/>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1"/>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1"/>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1"/>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1"/>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1"/>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1"/>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1"/>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1"/>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1"/>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1"/>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1"/>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1"/>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1"/>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1"/>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1"/>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1"/>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1"/>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1"/>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1"/>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1"/>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2026-07-27T09:15:08Z</dcterms:created>
  <dcterms:modified xsi:type="dcterms:W3CDTF">2026-07-27T09:15:08Z</dcterms:modified>
</cp:coreProperties>
</file>

<file path=docProps/custom.xml><?xml version="1.0" encoding="utf-8"?>
<Properties xmlns="http://schemas.openxmlformats.org/officeDocument/2006/custom-properties" xmlns:vt="http://schemas.openxmlformats.org/officeDocument/2006/docPropsVTypes"/>
</file>