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title: "Cover letter"</w:t>
      </w:r>
    </w:p>
    <w:p>
      <w:pPr>
        <w:pStyle w:val="BodyText"/>
      </w:pPr>
      <w:r>
        <w:t xml:space="preserve">Re: Submission of "Calibration discriminability tracks online P300-speller accuracy in eighteen cohorts, but the fitted mapping does not transport" as a Paper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Journal of Neural Engineering</w:t>
      </w:r>
      <w:r>
        <w:t xml:space="preserve">,</w:t>
      </w:r>
    </w:p>
    <w:p>
      <w:pPr>
        <w:pStyle w:val="BodyText"/>
      </w:pPr>
      <w:r>
        <w:t xml:space="preserve">We submit the manuscript above for consideration as a Paper. Calibration recordings are collected before a P300-speller session, and a score derived from them has repeatedly been related to that session's online spelling accuracy. Mainsah and colleagues took this furthest in this journal, deriving speller accuracy analytically from a calibration-derived detectability index so that performance could be estimated without extensive online testing (</w:t>
      </w:r>
      <w:r>
        <w:rPr>
          <w:i/>
          <w:iCs/>
        </w:rPr>
        <w:t xml:space="preserve">J Neural Eng</w:t>
      </w:r>
      <w:r>
        <w:t xml:space="preserve"> </w:t>
      </w:r>
      <w:r>
        <w:t xml:space="preserve">2016;13:066007). That relationship, and the earlier reports it builds on, were established within the cohort in which they were measured. Whether a mapping fitted in one set of cohorts estimates accuracy in a cohort it has never seen is a separate question, and it is the question that determines whether such a score can be used anywhere other than where it was developed.</w:t>
      </w:r>
    </w:p>
    <w:p>
      <w:pPr>
        <w:pStyle w:val="BodyText"/>
      </w:pPr>
      <w:r>
        <w:t xml:space="preserve">We evaluated this using the public BigP3BCI archive. All 20 documented source studies supplied the shared 16-channel montage; 18 yielded eligible online outcomes, giving 271 participants, 410 sessions and 19,611 character selections, with the four documented ALS cohorts as the prespecified primary subgroup. Withholding one source study at a time, the association between calibration discriminability and subsequent accuracy appeared in every one of the 18 cohorts, at the level of individual participants (r = 0.701, n = 271), and after removing every between-cohort difference (r = 0.652). The fitted mapping, however, did not transport. Calibration slope ranged from 0.075 to 2.233 and intercept from -2.445 to 1.870 across withheld cohorts, and in two cohorts the score estimated accuracy less well than that cohort's own mean. For a cohort not represented in the archive, the interval on discrimination reaches down to chance. A single analysis improved transportability: excluding records in which more than 20% of calibration epochs were rejected reduced estimation error from 0.104 to 0.084 and slope variability from 0.586 to 0.438.</w:t>
      </w:r>
    </w:p>
    <w:p>
      <w:pPr>
        <w:pStyle w:val="BodyText"/>
      </w:pPr>
      <w:r>
        <w:t xml:space="preserve">We believe this carries three implications for this journal's readership. First, it separates two claims that the field has tended to report together: an association that replicates across cohorts, and a calibrated mapping that does not. A calibration score can support ranking sessions within a setting, and can support a data-quality screen, but should not be used to report an expected accuracy elsewhere without local recalibration. Second, the four ALS cohorts analysed alone gave a calibration-slope standard deviation of 0.204, against 0.586 across all 18; those four cohorts were not merely too few to estimate the spread, they were homogeneous and favourable, so the resulting picture was optimistic in a measurable direction. Evaluations built on a small number of cohorts should be read accordingly. Third, the artifact-rejection result is actionable at no cost, because the rejection fraction is already computed whenever the score is computed.</w:t>
      </w:r>
    </w:p>
    <w:p>
      <w:pPr>
        <w:pStyle w:val="BodyText"/>
      </w:pPr>
      <w:r>
        <w:t xml:space="preserve">We note that the journal's guidance asks that contributions using openly available data provide validation on additional data sets and insight into why performance differs. This study reports no performance improvement; it reports a negative transportability result across 18 independent cohorts, together with the cohort-level mechanism that produces it. All analysis code, frozen outputs, and the archive provenance record with checksum verification are available to support editorial assessment.</w:t>
      </w:r>
    </w:p>
    <w:p>
      <w:pPr>
        <w:pStyle w:val="BodyText"/>
      </w:pPr>
      <w:r>
        <w:t xml:space="preserve">We thank the editors for their time and consideration. The work has not been submitted elsewhere and is not under consideration by any other journal. A companion manuscript from our group uses the same archive to ask a different question, namely how much of each emitted character selection is determined by a language-model prior rather than by the neural signal; it is being submitted to a different journal, reuses the calibration score reported here as a moderator, and a copy is provided with this submission in keeping with ICMJE guidance on overlapping publications.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[Submitting author name, degree]</w:t>
      </w:r>
    </w:p>
    <w:p>
      <w:pPr>
        <w:pStyle w:val="BodyText"/>
      </w:pPr>
      <w:r>
        <w:t xml:space="preserve">[Institution, department]</w:t>
      </w:r>
    </w:p>
    <w:p>
      <w:pPr>
        <w:pStyle w:val="BodyText"/>
      </w:pPr>
      <w:r>
        <w:t xml:space="preserve">[Corresponding-author email]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MU Serif" w:cs="CMU Serif" w:eastAsiaTheme="minorEastAsia" w:hAnsi="CMU Serif"/>
        <w:sz w:val="24"/>
        <w:szCs w:val="24"/>
        <w:lang w:bidi="ar-SA" w:eastAsia="zh-CN" w:val="en-US"/>
      </w:rPr>
    </w:rPrDefault>
    <w:pPrDefault>
      <w:pPr>
        <w:spacing w:after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20"/>
      <w:szCs w:val="20"/>
    </w:rPr>
    <w:tblPr>
      <w:tblInd w:type="dxa" w:w="0"/>
      <w:tblBorders>
        <w:top w:color="000000" w:sz="4" w:val="single"/>
        <w:bottom w:color="000000" w:sz="4" w:val="single"/>
        <w:insideH w:color="808080" w:sz="2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tcBorders>
          <w:bottom w:color="00000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._document.xml.rels>    Mac OS X         &#65533;     &#65533;    ATTR      &#65533;   &#65533 &#65533;     com.apple.provenance  &#65533;&#65533;&#65533;)&#65533;&#65533;&#65533;  This resource fork intentionally left blank       &#65533;&#65533;
</file>

<file path=word/_rels/._footnotes.xml.rels>    Mac OS X         &#65533;     &#65533;    ATTR      &#65533;   &#65533 &#65533;     com.apple.provenance  &#65533;&#65533;&#65533;)&#65533;&#65533;&#65533;  This resource fork intentionally left blank       &#65533;&#65533;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MU Serif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MU Serif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2026-07-26T17:05:02Z</dcterms:created>
  <dcterms:modified xsi:type="dcterms:W3CDTF">2026-07-26T17:05:02Z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