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title: "Calibration discriminability tracks online P300-speller accuracy in eighteen cohorts, but the fitted mapping does not transport"</w:t>
      </w:r>
      <w:r>
        <w:t xml:space="preserve"> </w:t>
      </w:r>
      <w:r>
        <w:t xml:space="preserve">subtitle: "Journal of Neural Engineering, Paper"</w:t>
      </w:r>
    </w:p>
    <w:p>
      <w:pPr>
        <w:pStyle w:val="BodyText"/>
      </w:pPr>
      <w:r>
        <w:rPr>
          <w:b/>
          <w:bCs/>
        </w:rPr>
        <w:t xml:space="preserve">Authors, affiliations, corresponding author, funding, competing interests, and CRediT roles:</w:t>
      </w:r>
      <w:r>
        <w:t xml:space="preserve"> </w:t>
      </w:r>
      <w:r>
        <w:t xml:space="preserve">[to be completed by submitting authors]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Calibration recordings precede P300-speller sessions, and a score derived from them has been related to online spelling accuracy, but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version 1.0.0. Of 20 source studies, 18 yielded eligible online outcomes: 271 participants, 410 sessions, 739 session-condition records, 19,611 character selections. The four documented amyotrophic lateral sclerosis (ALS) cohorts were the prespecified primary subgroup. The predictor was grouped cross-validated discriminability of a classifier fitted to calibration epochs only. One source study at a time was withheld from development. Uncertainty is reported conditional on the observed cohorts and, treating the study as the unit of replication, for an unrepresented cohort.</w:t>
      </w:r>
    </w:p>
    <w:bookmarkEnd w:id="10"/>
    <w:bookmarkStart w:id="11" w:name="main-results"/>
    <w:p>
      <w:pPr>
        <w:pStyle w:val="Heading3"/>
      </w:pPr>
      <w:r>
        <w:t xml:space="preserve">Main Results</w:t>
      </w:r>
    </w:p>
    <w:p>
      <w:pPr>
        <w:pStyle w:val="FirstParagraph"/>
      </w:pPr>
      <w:r>
        <w:t xml:space="preserve">The score was associated with online accuracy in all 18 cohorts (within-cohort r 0.083 to 0.920; participant level r = 0.701, n = 271, p &lt; 0.001), and after removing between-cohort differences (r = 0.652, p &lt; 0.001). Estimation error was 0.103 (95% CI 0.094 to 0.112) against 0.146 with no predictor. The fitted mapping did not transport: calibration slope ranged from 0.075 to 2.233 and intercept from -2.445 to 1.870 across cohorts, and skill was negative in two of 18. For an unrepresented cohort, intervals spanned 0.001 to 0.208 for estimation error and 0.482 to 0.937 for discrimination. The ALS cohorts alone gave a slope of 0.991 with a between-cohort standard deviation of 0.204, against 0.586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It may support ranking sessions within a setting, but should not be used to report an expected accuracy where the mapping was not developed without local recalibration. Evaluating on few cohorts, as the ALS cohorts illustrate,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documented ALS cohorts were the prespecified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external validation in which an entire source study was withheld from model development and the fitted mapping was evaluated in that withheld cohort. Reporting follows the TRIPOD statement for prediction-model studies.[19] The analysis was not registered.</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prespecified primary subgroup.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twelfth sample, giving 22 samples per channel and 352 features. At 256 Hz this corresponds to an effective sampling rate of about 21.3 Hz, which is below twice the 30 Hz filter edge; a sensitivity analysis at the documented decimation is reported in the supplement.</w:t>
      </w:r>
    </w:p>
    <w:p>
      <w:pPr>
        <w:pStyle w:val="BodyText"/>
      </w:pPr>
      <w:r>
        <w:t xml:space="preserve">The primary score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so that any estimate can be recomputed.</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slope relating calibration score to accuracy differed between ALS and other cohorts, through the interaction between score and cohort type.</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model with no predictor that estimates every withheld record at the development-set mean accuracy, an oracle told the withheld cohort's own mean accuracy, and the skill of the model against the no-predictor model, defined as one minus the ratio of their errors.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Calibration slope power is reported as the departure from unity the design could have detected. Prespecified sensitivity analyses covered restriction to cohorts with meaningful outcome variance, exclusion of records with high artifact rejection, exclusion of small-denominator records, and leave-two-studies-out development.</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The study involved no new data collection, participant contact, or intervention. The original source studies' ethics and consent statements are reported in the archive documentation. The submitting institution must confirm its own determination for this secondary analysis of a de-identified public archive.</w:t>
      </w:r>
    </w:p>
    <w:bookmarkEnd w:id="22"/>
    <w:bookmarkStart w:id="23" w:name="X054287b69f39587cee1a346d69b3301669c00d4"/>
    <w:p>
      <w:pPr>
        <w:pStyle w:val="Heading3"/>
      </w:pPr>
      <w:r>
        <w:t xml:space="preserve">Relationship Between the Predictor and the Deployed Decoder</w:t>
      </w:r>
    </w:p>
    <w:p>
      <w:pPr>
        <w:pStyle w:val="FirstParagraph"/>
      </w:pPr>
      <w:r>
        <w:t xml:space="preserve">In these copy-spelling protocols the classifier used online during the Test phase was itself fitted on the Train-phase files from which the calibration score is computed. The quantity evaluated here is therefore the cross-validated fit quality of the decoder that was actually deployed, measured against that decoder's subsequent online accuracy, rather than an independent physiological marker of user aptitude. This is stated because it explains the strength of the within-session relationship and because it is the property a session-level operational check would exploit.</w:t>
      </w:r>
    </w:p>
    <w:bookmarkEnd w:id="23"/>
    <w:bookmarkEnd w:id="24"/>
    <w:bookmarkStart w:id="34"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eligible online character selections.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7648dbd82d0d934b2a11b31b81a4ac1beb64f12"/>
    <w:p>
      <w:pPr>
        <w:pStyle w:val="Heading3"/>
      </w:pPr>
      <w:r>
        <w:t xml:space="preserve">Association Between Calibration Discriminability and Online Accuracy</w:t>
      </w:r>
    </w:p>
    <w:p>
      <w:pPr>
        <w:pStyle w:val="FirstParagraph"/>
      </w:pPr>
      <w:r>
        <w:rPr>
          <w:b/>
          <w:bCs/>
        </w:rPr>
        <w:t xml:space="preserve">The association was present in every contributing cohort and was not an artefact of differences between cohorts.</w:t>
      </w:r>
      <w:r>
        <w:t xml:space="preserve"> </w:t>
      </w:r>
      <w:r>
        <w:t xml:space="preserve">Calibration discriminability correlated with observed session accuracy in all 18 cohorts, with within-cohort Pearson r from 0.083 to 0.920 (median 0.630). Pooling sessions gave r = 0.699 (n = 410, p &lt; 0.001); centring both variables within cohort, which removes every between-cohort difference, gave r = 0.652 (p &lt; 0.001). Collapsing each participant to a single observation gave r = 0.701 (n = 271, p &lt; 0.001; Spearman ρ = 0.749).</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Estimated session accuracy fell about 30% closer to observed accuracy than a model with no predictor, and also beat an oracle told each withheld cohort's own mean.</w:t>
      </w:r>
      <w:r>
        <w:t xml:space="preserve"> </w:t>
      </w:r>
      <w:r>
        <w:t xml:space="preserve">Across withheld cohorts the mean absolute error was 0.103 (95% CI 0.094 to 0.112), against 0.146 for a no-predictor model and 0.123 for the same-study oracle, giving a skill of 0.298 against the no-predictor reference. The character-weighted Brier score was 0.124 (95% CI 0.115 to 0.134), Brier skill 0.098 (95% CI 0.049 to 0.138), and character-weighted area under the curve 0.743 (95% CI 0.714 to 0.766).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moderately and calibration did not transport at all.</w:t>
      </w:r>
      <w:r>
        <w:t xml:space="preserve"> </w:t>
      </w:r>
      <w:r>
        <w:t xml:space="preserve">Across the 18 withheld cohorts the mean absolute error averaged 0.104 with a between-cohort standard deviation of 0.048, giving a 95% interval for the mean of 0.080 to 0.128 and a 95% interval for a cohort not represented in the archive of 0.001 to 0.208 (Figure 1). Area under the curve averaged 0.710 across cohorts, with a new-cohort interval of 0.482 to 0.937, the lower bound of which is chance. Brier skill averaged 0.167 across cohorts with a new-cohort interval of -0.287 to 0.621.</w:t>
      </w:r>
    </w:p>
    <w:p>
      <w:pPr>
        <w:pStyle w:val="BodyText"/>
      </w:pPr>
      <w:r>
        <w:rPr>
          <w:b/>
          <w:bCs/>
        </w:rPr>
        <w:t xml:space="preserve">Calibration slope and intercept varied so widely between cohorts that a single fitted mapping produced miscalibrated estimates in most of them.</w:t>
      </w:r>
      <w:r>
        <w:t xml:space="preserve"> </w:t>
      </w:r>
      <w:r>
        <w:t xml:space="preserve">The calibration slope ranged from 0.075 to 2.233 and the intercept from -2.445 to 1.870 across withheld cohorts. The between-cohort standard deviation was 0.586 for the slope and 1.073 for the intercept, giving new-cohort intervals of -0.104 to 2.437 and -2.405 to 2.249. The pooled slope of 0.950 (95% CI 0.754 to 1.146) and intercept of 0.080 (95% CI -0.290 to 0.464) arise from averaging these opposing departures and do not describe any individual cohort.</w:t>
      </w:r>
    </w:p>
    <w:p>
      <w:pPr>
        <w:pStyle w:val="BodyText"/>
      </w:pPr>
      <w:r>
        <w:rPr>
          <w:b/>
          <w:bCs/>
        </w:rPr>
        <w:t xml:space="preserve">In two cohorts the calibration score estimated accuracy less well than that cohort's own mean.</w:t>
      </w:r>
      <w:r>
        <w:t xml:space="preserve"> </w:t>
      </w:r>
      <w:r>
        <w:t xml:space="preserve">Skill against the no-predictor reference was negative in two of 18 cohorts (-0.281 and -0.093) and ranged up to 0.667 in the remainder (Figure 2). All four ALS cohorts had positive skill (0.229, 0.369, 0.396, 0.471).</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prespecified primary subgroup the mean absolute error was 0.095 (95% CI 0.080 to 0.115), Brier skill 0.287 (95% CI 0.169 to 0.407), area under the curve 0.828 (95% CI 0.761 to 0.866), calibration intercept 0.022 (95% CI -0.301 to 0.378), and slope 0.991 (95% CI 0.783 to 1.201). The between-cohort standard deviation of the calibration slope was 0.204 within this subgroup against 0.586 across all contributing cohorts.</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0.089, 0.112, 0.124, and 0.142 (mean 0.117), against 0.101 when other ALS cohorts were available for development. Signed bias ranged from -0.085 to 0.063.</w:t>
      </w:r>
    </w:p>
    <w:bookmarkEnd w:id="30"/>
    <w:bookmarkStart w:id="31" w:name="cohort-type-as-a-moderator"/>
    <w:p>
      <w:pPr>
        <w:pStyle w:val="Heading3"/>
      </w:pPr>
      <w:r>
        <w:t xml:space="preserve">Cohort Type as a Moderator</w:t>
      </w:r>
    </w:p>
    <w:p>
      <w:pPr>
        <w:pStyle w:val="FirstParagraph"/>
      </w:pPr>
      <w:r>
        <w:rPr>
          <w:b/>
          <w:bCs/>
        </w:rPr>
        <w:t xml:space="preserve">The slope relating calibration discriminability to online accuracy was steeper in the ALS cohorts.</w:t>
      </w:r>
      <w:r>
        <w:t xml:space="preserve"> </w:t>
      </w:r>
      <w:r>
        <w:t xml:space="preserve">The fitted slope was 1.672 in ALS cohorts and 1.018 in the remaining cohorts, with an interaction of 0.655 (p &lt; 0.001). The same calibration score therefore implied a different expected accuracy depending on cohort type.</w:t>
      </w:r>
    </w:p>
    <w:bookmarkEnd w:id="31"/>
    <w:bookmarkStart w:id="32"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0.525 (p &lt; 0.001), against r = 0.702 for the score recorded in the session being estimated.</w:t>
      </w:r>
    </w:p>
    <w:bookmarkEnd w:id="32"/>
    <w:bookmarkStart w:id="33"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0.104, between-cohort standard deviation 0.048). Restricting to the 12 cohorts whose session accuracy varied by at least 0.10 raised the mean absolute error to 0.129 and the calibration-slope standard deviation to 0.674, indicating that near-ceiling cohorts contributed low error for reasons unrelated to the predictor. Excluding records in which more than 20% of calibration epochs were rejected lowered the mean absolute error to 0.084 and the calibration-slope standard deviation to 0.438, the only analysis in which transportability improved. Analysing the 14 cohorts without a documented ALS population gave a mean absolute error of 0.104 with a new-cohort interval of -0.012 to 0.219 and a calibration-slope standard deviation of 0.716.</w:t>
      </w:r>
    </w:p>
    <w:bookmarkEnd w:id="33"/>
    <w:bookmarkEnd w:id="34"/>
    <w:bookmarkStart w:id="37"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in every cohort, at the level of individual participants as well as between cohorts, and when the calibration recording came from an earlier session. A fitted mapping from that score to an expected accuracy did not transport. Calibration slope varied from 0.075 to 2.233 and intercept from -2.445 to 1.870 across withheld cohorts, and in two cohorts the score estimated accuracy less well than that cohort's own mean. The association is a stable property of these recordings; the calibrated mapping is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0.001 to 0.208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The comparison between the four ALS cohorts and the full archive is itself a result. Analysed alone, the ALS cohorts gave a calibration slope of 0.991 with a between-cohort standard deviation of 0.204 and a favourable Brier skill of 0.287. Analysed alongside 14 further cohorts, the between-cohort standard deviation of the slope was 0.586 and Brier skill fell to 0.098. Four cohorts were not merely too few to estimate the spread; they happened to be homogeneous and favourable, and the resulting picture was optimistic in a direction that only became visible with more cohorts. External validation of a brain-computer interface mapping on a small number of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0.104 to 0.084 and reduced the between-cohort standard deviation of the calibration slope from 0.586 to 0.438.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0.117, against 0.101 when other ALS cohorts were available. The relationship is not specific to the clinical population in the sense of being absent elsewhere. It is population-dependent in a different sense: the slope was steeper in the ALS cohorts than in the others, so the same score implied a different expected accuracy, which is one mechanism by which a single fitted mapping mis-calibrates.</w:t>
      </w:r>
    </w:p>
    <w:bookmarkStart w:id="35"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online classifier deployed during the Test phase was fitted on the same Train-phase files from which the calibration score is derived. The quantity evaluated is therefore the cross-validated fit quality of the decoder that was actually used, measured against that decoder's own subsequent accuracy,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substantially,[28,29,30] so some of the between-cohort variability reported here is attributable to protocol rather than to population.</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figure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summary.[31]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bookmarkEnd w:id="35"/>
    <w:bookmarkStart w:id="36" w:name="conclusion"/>
    <w:p>
      <w:pPr>
        <w:pStyle w:val="Heading3"/>
      </w:pPr>
      <w:r>
        <w:t xml:space="preserve">Conclusion</w:t>
      </w:r>
    </w:p>
    <w:p>
      <w:pPr>
        <w:pStyle w:val="FirstParagraph"/>
      </w:pPr>
      <w:r>
        <w:t xml:space="preserve">In 18 independent P300-speller cohorts, calibration discriminability was related to subsequent online spelling accuracy in every cohort and at the level of individual participants, but the fitted mapping between the two did not transport: calibration slope and intercept varied several-fold between cohorts, and estimation performance in a cohort outside the archive cannot be bounded away from no benefit.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6"/>
    <w:bookmarkEnd w:id="37"/>
    <w:bookmarkStart w:id="47"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w:t>
      </w:r>
    </w:p>
    <w:tbl>
      <w:tblPr>
        <w:tblStyle w:val="Table"/>
        <w:tblW w:type="pct" w:w="5000"/>
        <w:tblLayout w:type="fixed"/>
        <w:tblLook w:firstRow="1" w:lastRow="0" w:firstColumn="0" w:lastColumn="0" w:noHBand="0" w:noVBand="0" w:val="0020"/>
      </w:tblPr>
      <w:tblGrid>
        <w:gridCol w:w="979"/>
        <w:gridCol w:w="1143"/>
        <w:gridCol w:w="1632"/>
        <w:gridCol w:w="1551"/>
        <w:gridCol w:w="2612"/>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w:t>
            </w:r>
          </w:p>
        </w:tc>
        <w:tc>
          <w:tcPr/>
          <w:p>
            <w:pPr>
              <w:pStyle w:val="Compact"/>
            </w:pPr>
            <w:r>
              <w:t xml:space="preserve">4 of 20</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bl>
    <w:p>
      <w:pPr>
        <w:pStyle w:val="BodyText"/>
      </w:pPr>
      <w:r>
        <w:rPr>
          <w:b/>
          <w:bCs/>
        </w:rPr>
        <w:t xml:space="preserve">Table 2. Per-cohort composition and withheld-cohort performance.</w:t>
      </w:r>
      <w:r>
        <w:t xml:space="preserve"> </w:t>
      </w:r>
      <w:r>
        <w:t xml:space="preserve">For each of the 18 contributing cohorts: participants, records, eligible selections, mean observed session-condition accuracy, and, when that cohort was withheld from model development, the mean absolute error, character-weighted area under the curve, and calibration intercept and slope. ALS cohorts are listed first. The calibration slope ranges from 0.075 to 2.233 and the intercept from -2.445 to 1.870.</w:t>
      </w:r>
    </w:p>
    <w:tbl>
      <w:tblPr>
        <w:tblStyle w:val="Table"/>
        <w:tblW w:type="pct" w:w="5000"/>
        <w:tblLayout w:type="fixed"/>
        <w:tblLook w:firstRow="1" w:lastRow="0" w:firstColumn="0" w:lastColumn="0" w:noHBand="0" w:noVBand="0" w:val="0020"/>
      </w:tblPr>
      <w:tblGrid>
        <w:gridCol w:w="621"/>
        <w:gridCol w:w="1087"/>
        <w:gridCol w:w="698"/>
        <w:gridCol w:w="931"/>
        <w:gridCol w:w="1320"/>
        <w:gridCol w:w="543"/>
        <w:gridCol w:w="543"/>
        <w:gridCol w:w="1242"/>
        <w:gridCol w:w="931"/>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jc w:val="right"/>
            </w:pPr>
            <w:r>
              <w:t xml:space="preserve">Calib. slope</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0.122</w:t>
            </w:r>
          </w:p>
        </w:tc>
        <w:tc>
          <w:tcPr/>
          <w:p>
            <w:pPr>
              <w:pStyle w:val="Compact"/>
              <w:jc w:val="right"/>
            </w:pPr>
            <w:r>
              <w:t xml:space="preserve">0.817</w:t>
            </w:r>
          </w:p>
        </w:tc>
        <w:tc>
          <w:tcPr/>
          <w:p>
            <w:pPr>
              <w:pStyle w:val="Compact"/>
              <w:jc w:val="right"/>
            </w:pPr>
            <w:r>
              <w:t xml:space="preserve">-0.088</w:t>
            </w:r>
          </w:p>
        </w:tc>
        <w:tc>
          <w:tcPr/>
          <w:p>
            <w:pPr>
              <w:pStyle w:val="Compact"/>
              <w:jc w:val="right"/>
            </w:pPr>
            <w:r>
              <w:t xml:space="preserve">1.630</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0.107</w:t>
            </w:r>
          </w:p>
        </w:tc>
        <w:tc>
          <w:tcPr/>
          <w:p>
            <w:pPr>
              <w:pStyle w:val="Compact"/>
              <w:jc w:val="right"/>
            </w:pPr>
            <w:r>
              <w:t xml:space="preserve">0.860</w:t>
            </w:r>
          </w:p>
        </w:tc>
        <w:tc>
          <w:tcPr/>
          <w:p>
            <w:pPr>
              <w:pStyle w:val="Compact"/>
              <w:jc w:val="right"/>
            </w:pPr>
            <w:r>
              <w:t xml:space="preserve">-0.863</w:t>
            </w:r>
          </w:p>
        </w:tc>
        <w:tc>
          <w:tcPr/>
          <w:p>
            <w:pPr>
              <w:pStyle w:val="Compact"/>
              <w:jc w:val="right"/>
            </w:pPr>
            <w:r>
              <w:t xml:space="preserve">1.488</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0.086</w:t>
            </w:r>
          </w:p>
        </w:tc>
        <w:tc>
          <w:tcPr/>
          <w:p>
            <w:pPr>
              <w:pStyle w:val="Compact"/>
              <w:jc w:val="right"/>
            </w:pPr>
            <w:r>
              <w:t xml:space="preserve">0.803</w:t>
            </w:r>
          </w:p>
        </w:tc>
        <w:tc>
          <w:tcPr/>
          <w:p>
            <w:pPr>
              <w:pStyle w:val="Compact"/>
              <w:jc w:val="right"/>
            </w:pPr>
            <w:r>
              <w:t xml:space="preserve">-0.816</w:t>
            </w:r>
          </w:p>
        </w:tc>
        <w:tc>
          <w:tcPr/>
          <w:p>
            <w:pPr>
              <w:pStyle w:val="Compact"/>
              <w:jc w:val="right"/>
            </w:pPr>
            <w:r>
              <w:t xml:space="preserve">1.750</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0.136</w:t>
            </w:r>
          </w:p>
        </w:tc>
        <w:tc>
          <w:tcPr/>
          <w:p>
            <w:pPr>
              <w:pStyle w:val="Compact"/>
              <w:jc w:val="right"/>
            </w:pPr>
            <w:r>
              <w:t xml:space="preserve">0.799</w:t>
            </w:r>
          </w:p>
        </w:tc>
        <w:tc>
          <w:tcPr/>
          <w:p>
            <w:pPr>
              <w:pStyle w:val="Compact"/>
              <w:jc w:val="right"/>
            </w:pPr>
            <w:r>
              <w:t xml:space="preserve">-0.694</w:t>
            </w:r>
          </w:p>
        </w:tc>
        <w:tc>
          <w:tcPr/>
          <w:p>
            <w:pPr>
              <w:pStyle w:val="Compact"/>
              <w:jc w:val="right"/>
            </w:pPr>
            <w:r>
              <w:t xml:space="preserve">1.168</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0.776</w:t>
            </w:r>
          </w:p>
        </w:tc>
        <w:tc>
          <w:tcPr/>
          <w:p>
            <w:pPr>
              <w:pStyle w:val="Compact"/>
              <w:jc w:val="right"/>
            </w:pPr>
            <w:r>
              <w:t xml:space="preserve">-2.445</w:t>
            </w:r>
          </w:p>
        </w:tc>
        <w:tc>
          <w:tcPr/>
          <w:p>
            <w:pPr>
              <w:pStyle w:val="Compact"/>
              <w:jc w:val="right"/>
            </w:pPr>
            <w:r>
              <w:t xml:space="preserve">2.233</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0.052</w:t>
            </w:r>
          </w:p>
        </w:tc>
        <w:tc>
          <w:tcPr/>
          <w:p>
            <w:pPr>
              <w:pStyle w:val="Compact"/>
              <w:jc w:val="right"/>
            </w:pPr>
            <w:r>
              <w:t xml:space="preserve">0.639</w:t>
            </w:r>
          </w:p>
        </w:tc>
        <w:tc>
          <w:tcPr/>
          <w:p>
            <w:pPr>
              <w:pStyle w:val="Compact"/>
              <w:jc w:val="right"/>
            </w:pPr>
            <w:r>
              <w:t xml:space="preserve">+0.016</w:t>
            </w:r>
          </w:p>
        </w:tc>
        <w:tc>
          <w:tcPr/>
          <w:p>
            <w:pPr>
              <w:pStyle w:val="Compact"/>
              <w:jc w:val="right"/>
            </w:pPr>
            <w:r>
              <w:t xml:space="preserve">0.982</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0.066</w:t>
            </w:r>
          </w:p>
        </w:tc>
        <w:tc>
          <w:tcPr/>
          <w:p>
            <w:pPr>
              <w:pStyle w:val="Compact"/>
              <w:jc w:val="right"/>
            </w:pPr>
            <w:r>
              <w:t xml:space="preserve">0.675</w:t>
            </w:r>
          </w:p>
        </w:tc>
        <w:tc>
          <w:tcPr/>
          <w:p>
            <w:pPr>
              <w:pStyle w:val="Compact"/>
              <w:jc w:val="right"/>
            </w:pPr>
            <w:r>
              <w:t xml:space="preserve">+1.010</w:t>
            </w:r>
          </w:p>
        </w:tc>
        <w:tc>
          <w:tcPr/>
          <w:p>
            <w:pPr>
              <w:pStyle w:val="Compact"/>
              <w:jc w:val="right"/>
            </w:pPr>
            <w:r>
              <w:t xml:space="preserve">0.764</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0.071</w:t>
            </w:r>
          </w:p>
        </w:tc>
        <w:tc>
          <w:tcPr/>
          <w:p>
            <w:pPr>
              <w:pStyle w:val="Compact"/>
              <w:jc w:val="right"/>
            </w:pPr>
            <w:r>
              <w:t xml:space="preserve">0.731</w:t>
            </w:r>
          </w:p>
        </w:tc>
        <w:tc>
          <w:tcPr/>
          <w:p>
            <w:pPr>
              <w:pStyle w:val="Compact"/>
              <w:jc w:val="right"/>
            </w:pPr>
            <w:r>
              <w:t xml:space="preserve">-1.257</w:t>
            </w:r>
          </w:p>
        </w:tc>
        <w:tc>
          <w:tcPr/>
          <w:p>
            <w:pPr>
              <w:pStyle w:val="Compact"/>
              <w:jc w:val="right"/>
            </w:pPr>
            <w:r>
              <w:t xml:space="preserve">1.485</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0.154</w:t>
            </w:r>
          </w:p>
        </w:tc>
        <w:tc>
          <w:tcPr/>
          <w:p>
            <w:pPr>
              <w:pStyle w:val="Compact"/>
              <w:jc w:val="right"/>
            </w:pPr>
            <w:r>
              <w:t xml:space="preserve">0.516</w:t>
            </w:r>
          </w:p>
        </w:tc>
        <w:tc>
          <w:tcPr/>
          <w:p>
            <w:pPr>
              <w:pStyle w:val="Compact"/>
              <w:jc w:val="right"/>
            </w:pPr>
            <w:r>
              <w:t xml:space="preserve">+1.870</w:t>
            </w:r>
          </w:p>
        </w:tc>
        <w:tc>
          <w:tcPr/>
          <w:p>
            <w:pPr>
              <w:pStyle w:val="Compact"/>
              <w:jc w:val="right"/>
            </w:pPr>
            <w:r>
              <w:t xml:space="preserve">0.075</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0.178</w:t>
            </w:r>
          </w:p>
        </w:tc>
        <w:tc>
          <w:tcPr/>
          <w:p>
            <w:pPr>
              <w:pStyle w:val="Compact"/>
              <w:jc w:val="right"/>
            </w:pPr>
            <w:r>
              <w:t xml:space="preserve">0.654</w:t>
            </w:r>
          </w:p>
        </w:tc>
        <w:tc>
          <w:tcPr/>
          <w:p>
            <w:pPr>
              <w:pStyle w:val="Compact"/>
              <w:jc w:val="right"/>
            </w:pPr>
            <w:r>
              <w:t xml:space="preserve">-0.795</w:t>
            </w:r>
          </w:p>
        </w:tc>
        <w:tc>
          <w:tcPr/>
          <w:p>
            <w:pPr>
              <w:pStyle w:val="Compact"/>
              <w:jc w:val="right"/>
            </w:pPr>
            <w:r>
              <w:t xml:space="preserve">1.270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0.204</w:t>
            </w:r>
          </w:p>
        </w:tc>
        <w:tc>
          <w:tcPr/>
          <w:p>
            <w:pPr>
              <w:pStyle w:val="Compact"/>
              <w:jc w:val="right"/>
            </w:pPr>
            <w:r>
              <w:t xml:space="preserve">0.569</w:t>
            </w:r>
          </w:p>
        </w:tc>
        <w:tc>
          <w:tcPr/>
          <w:p>
            <w:pPr>
              <w:pStyle w:val="Compact"/>
              <w:jc w:val="right"/>
            </w:pPr>
            <w:r>
              <w:t xml:space="preserve">+0.617</w:t>
            </w:r>
          </w:p>
        </w:tc>
        <w:tc>
          <w:tcPr/>
          <w:p>
            <w:pPr>
              <w:pStyle w:val="Compact"/>
              <w:jc w:val="right"/>
            </w:pPr>
            <w:r>
              <w:t xml:space="preserve">0.221</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0.156</w:t>
            </w:r>
          </w:p>
        </w:tc>
        <w:tc>
          <w:tcPr/>
          <w:p>
            <w:pPr>
              <w:pStyle w:val="Compact"/>
              <w:jc w:val="right"/>
            </w:pPr>
            <w:r>
              <w:t xml:space="preserve">0.675</w:t>
            </w:r>
          </w:p>
        </w:tc>
        <w:tc>
          <w:tcPr/>
          <w:p>
            <w:pPr>
              <w:pStyle w:val="Compact"/>
              <w:jc w:val="right"/>
            </w:pPr>
            <w:r>
              <w:t xml:space="preserve">+0.432</w:t>
            </w:r>
          </w:p>
        </w:tc>
        <w:tc>
          <w:tcPr/>
          <w:p>
            <w:pPr>
              <w:pStyle w:val="Compact"/>
              <w:jc w:val="right"/>
            </w:pPr>
            <w:r>
              <w:t xml:space="preserve">0.748</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0.122</w:t>
            </w:r>
          </w:p>
        </w:tc>
        <w:tc>
          <w:tcPr/>
          <w:p>
            <w:pPr>
              <w:pStyle w:val="Compact"/>
              <w:jc w:val="right"/>
            </w:pPr>
            <w:r>
              <w:t xml:space="preserve">0.671</w:t>
            </w:r>
          </w:p>
        </w:tc>
        <w:tc>
          <w:tcPr/>
          <w:p>
            <w:pPr>
              <w:pStyle w:val="Compact"/>
              <w:jc w:val="right"/>
            </w:pPr>
            <w:r>
              <w:t xml:space="preserve">+0.422</w:t>
            </w:r>
          </w:p>
        </w:tc>
        <w:tc>
          <w:tcPr/>
          <w:p>
            <w:pPr>
              <w:pStyle w:val="Compact"/>
              <w:jc w:val="right"/>
            </w:pPr>
            <w:r>
              <w:t xml:space="preserve">0.837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0.066</w:t>
            </w:r>
          </w:p>
        </w:tc>
        <w:tc>
          <w:tcPr/>
          <w:p>
            <w:pPr>
              <w:pStyle w:val="Compact"/>
              <w:jc w:val="right"/>
            </w:pPr>
            <w:r>
              <w:t xml:space="preserve">0.590</w:t>
            </w:r>
          </w:p>
        </w:tc>
        <w:tc>
          <w:tcPr/>
          <w:p>
            <w:pPr>
              <w:pStyle w:val="Compact"/>
              <w:jc w:val="right"/>
            </w:pPr>
            <w:r>
              <w:t xml:space="preserve">+0.240</w:t>
            </w:r>
          </w:p>
        </w:tc>
        <w:tc>
          <w:tcPr/>
          <w:p>
            <w:pPr>
              <w:pStyle w:val="Compact"/>
              <w:jc w:val="right"/>
            </w:pPr>
            <w:r>
              <w:t xml:space="preserve">0.709</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0.061</w:t>
            </w:r>
          </w:p>
        </w:tc>
        <w:tc>
          <w:tcPr/>
          <w:p>
            <w:pPr>
              <w:pStyle w:val="Compact"/>
              <w:jc w:val="right"/>
            </w:pPr>
            <w:r>
              <w:t xml:space="preserve">0.672</w:t>
            </w:r>
          </w:p>
        </w:tc>
        <w:tc>
          <w:tcPr/>
          <w:p>
            <w:pPr>
              <w:pStyle w:val="Compact"/>
              <w:jc w:val="right"/>
            </w:pPr>
            <w:r>
              <w:t xml:space="preserve">-0.162</w:t>
            </w:r>
          </w:p>
        </w:tc>
        <w:tc>
          <w:tcPr/>
          <w:p>
            <w:pPr>
              <w:pStyle w:val="Compact"/>
              <w:jc w:val="right"/>
            </w:pPr>
            <w:r>
              <w:t xml:space="preserve">1.126</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0.063</w:t>
            </w:r>
          </w:p>
        </w:tc>
        <w:tc>
          <w:tcPr/>
          <w:p>
            <w:pPr>
              <w:pStyle w:val="Compact"/>
              <w:jc w:val="right"/>
            </w:pPr>
            <w:r>
              <w:t xml:space="preserve">0.628</w:t>
            </w:r>
          </w:p>
        </w:tc>
        <w:tc>
          <w:tcPr/>
          <w:p>
            <w:pPr>
              <w:pStyle w:val="Compact"/>
              <w:jc w:val="right"/>
            </w:pPr>
            <w:r>
              <w:t xml:space="preserve">+1.312</w:t>
            </w:r>
          </w:p>
        </w:tc>
        <w:tc>
          <w:tcPr/>
          <w:p>
            <w:pPr>
              <w:pStyle w:val="Compact"/>
              <w:jc w:val="right"/>
            </w:pPr>
            <w:r>
              <w:t xml:space="preserve">0.771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0.050</w:t>
            </w:r>
          </w:p>
        </w:tc>
        <w:tc>
          <w:tcPr/>
          <w:p>
            <w:pPr>
              <w:pStyle w:val="Compact"/>
              <w:jc w:val="right"/>
            </w:pPr>
            <w:r>
              <w:t xml:space="preserve">0.851</w:t>
            </w:r>
          </w:p>
        </w:tc>
        <w:tc>
          <w:tcPr/>
          <w:p>
            <w:pPr>
              <w:pStyle w:val="Compact"/>
              <w:jc w:val="right"/>
            </w:pPr>
            <w:r>
              <w:t xml:space="preserve">+1.019</w:t>
            </w:r>
          </w:p>
        </w:tc>
        <w:tc>
          <w:tcPr/>
          <w:p>
            <w:pPr>
              <w:pStyle w:val="Compact"/>
              <w:jc w:val="right"/>
            </w:pPr>
            <w:r>
              <w:t xml:space="preserve">1.787</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0.054</w:t>
            </w:r>
          </w:p>
        </w:tc>
        <w:tc>
          <w:tcPr/>
          <w:p>
            <w:pPr>
              <w:pStyle w:val="Compact"/>
              <w:jc w:val="right"/>
            </w:pPr>
            <w:r>
              <w:t xml:space="preserve">0.847</w:t>
            </w:r>
          </w:p>
        </w:tc>
        <w:tc>
          <w:tcPr/>
          <w:p>
            <w:pPr>
              <w:pStyle w:val="Compact"/>
              <w:jc w:val="right"/>
            </w:pPr>
            <w:r>
              <w:t xml:space="preserve">-1.224</w:t>
            </w:r>
          </w:p>
        </w:tc>
        <w:tc>
          <w:tcPr/>
          <w:p>
            <w:pPr>
              <w:pStyle w:val="Compact"/>
              <w:jc w:val="right"/>
            </w:pPr>
            <w:r>
              <w:t xml:space="preserve">1.952</w:t>
            </w:r>
          </w:p>
        </w:tc>
      </w:tr>
    </w:tbl>
    <w:p>
      <w:pPr>
        <w:pStyle w:val="BodyText"/>
      </w:pPr>
      <w:r>
        <w:rPr>
          <w:b/>
          <w:bCs/>
        </w:rPr>
        <w:t xml:space="preserve">Figure 1.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2. Error reduction in each withheld cohort against that cohort's own no-predictor benchmark.</w:t>
      </w:r>
      <w:r>
        <w:t xml:space="preserve"> </w:t>
      </w:r>
      <w:r>
        <w:t xml:space="preserve">Values below zero indicate that the calibration score estimated accuracy less well than simply using the cohort's mean. All four ALS cohorts were positive; two cohorts without a documented ALS population were negative.</w:t>
      </w:r>
    </w:p>
    <w:p>
      <w:pPr>
        <w:pStyle w:val="BodyText"/>
      </w:pPr>
      <w:r>
        <w:rPr>
          <w:b/>
          <w:bCs/>
        </w:rPr>
        <w:t xml:space="preserve">Figure 3. Calibration discriminability against observed online accuracy, by cohort type.</w:t>
      </w:r>
      <w:r>
        <w:t xml:space="preserve"> </w:t>
      </w:r>
      <w:r>
        <w:t xml:space="preserve">Each point is one participant-session-condition record, sized by the number of eligible selections. Separate straight-line fits are shown for the ALS cohorts and the remaining cohorts; the drawn lines are bounded at one because the outcome is a proportion. The band of points at 1.0 shows the ceiling described in the Results.</w:t>
      </w:r>
    </w:p>
    <w:p>
      <w:pPr>
        <w:pStyle w:val="BodyText"/>
      </w:pPr>
      <w:r>
        <w:drawing>
          <wp:inline>
            <wp:extent cx="5334000" cy="4956449"/>
            <wp:effectExtent b="0" l="0" r="0" t="0"/>
            <wp:docPr descr="" title="" id="39" name="Picture"/>
            <a:graphic>
              <a:graphicData uri="http://schemas.openxmlformats.org/drawingml/2006/picture">
                <pic:pic>
                  <pic:nvPicPr>
                    <pic:cNvPr descr="../output/expanded/figures/figure_transportability.png" id="40" name="Picture"/>
                    <pic:cNvPicPr>
                      <a:picLocks noChangeArrowheads="1" noChangeAspect="1"/>
                    </pic:cNvPicPr>
                  </pic:nvPicPr>
                  <pic:blipFill>
                    <a:blip r:embed="rId38"/>
                    <a:stretch>
                      <a:fillRect/>
                    </a:stretch>
                  </pic:blipFill>
                  <pic:spPr bwMode="auto">
                    <a:xfrm>
                      <a:off x="0" y="0"/>
                      <a:ext cx="5334000" cy="4956449"/>
                    </a:xfrm>
                    <a:prstGeom prst="rect">
                      <a:avLst/>
                    </a:prstGeom>
                    <a:noFill/>
                    <a:ln w="9525">
                      <a:noFill/>
                      <a:headEnd/>
                      <a:tailEnd/>
                    </a:ln>
                  </pic:spPr>
                </pic:pic>
              </a:graphicData>
            </a:graphic>
          </wp:inline>
        </w:drawing>
      </w:r>
      <w:r>
        <w:t xml:space="preserve">{width=88%}</w:t>
      </w:r>
    </w:p>
    <w:p>
      <w:pPr>
        <w:pStyle w:val="BodyText"/>
      </w:pPr>
      <w:r>
        <w:drawing>
          <wp:inline>
            <wp:extent cx="5334000" cy="4277443"/>
            <wp:effectExtent b="0" l="0" r="0" t="0"/>
            <wp:docPr descr="" title="" id="42" name="Picture"/>
            <a:graphic>
              <a:graphicData uri="http://schemas.openxmlformats.org/drawingml/2006/picture">
                <pic:pic>
                  <pic:nvPicPr>
                    <pic:cNvPr descr="../output/expanded/figures/figure_skill_by_cohort.png" id="43" name="Picture"/>
                    <pic:cNvPicPr>
                      <a:picLocks noChangeArrowheads="1" noChangeAspect="1"/>
                    </pic:cNvPicPr>
                  </pic:nvPicPr>
                  <pic:blipFill>
                    <a:blip r:embed="rId41"/>
                    <a:stretch>
                      <a:fillRect/>
                    </a:stretch>
                  </pic:blipFill>
                  <pic:spPr bwMode="auto">
                    <a:xfrm>
                      <a:off x="0" y="0"/>
                      <a:ext cx="5334000" cy="4277443"/>
                    </a:xfrm>
                    <a:prstGeom prst="rect">
                      <a:avLst/>
                    </a:prstGeom>
                    <a:noFill/>
                    <a:ln w="9525">
                      <a:noFill/>
                      <a:headEnd/>
                      <a:tailEnd/>
                    </a:ln>
                  </pic:spPr>
                </pic:pic>
              </a:graphicData>
            </a:graphic>
          </wp:inline>
        </w:drawing>
      </w:r>
      <w:r>
        <w:t xml:space="preserve">{width=88%}</w:t>
      </w:r>
    </w:p>
    <w:p>
      <w:pPr>
        <w:pStyle w:val="BodyText"/>
      </w:pPr>
      <w:r>
        <w:drawing>
          <wp:inline>
            <wp:extent cx="4970428" cy="3898793"/>
            <wp:effectExtent b="0" l="0" r="0" t="0"/>
            <wp:docPr descr="" title="" id="45" name="Picture"/>
            <a:graphic>
              <a:graphicData uri="http://schemas.openxmlformats.org/drawingml/2006/picture">
                <pic:pic>
                  <pic:nvPicPr>
                    <pic:cNvPr descr="../output/expanded/figures/figure_cohort_type_relationship.png" id="46" name="Picture"/>
                    <pic:cNvPicPr>
                      <a:picLocks noChangeArrowheads="1" noChangeAspect="1"/>
                    </pic:cNvPicPr>
                  </pic:nvPicPr>
                  <pic:blipFill>
                    <a:blip r:embed="rId44"/>
                    <a:stretch>
                      <a:fillRect/>
                    </a:stretch>
                  </pic:blipFill>
                  <pic:spPr bwMode="auto">
                    <a:xfrm>
                      <a:off x="0" y="0"/>
                      <a:ext cx="4970428" cy="3898793"/>
                    </a:xfrm>
                    <a:prstGeom prst="rect">
                      <a:avLst/>
                    </a:prstGeom>
                    <a:noFill/>
                    <a:ln w="9525">
                      <a:noFill/>
                      <a:headEnd/>
                      <a:tailEnd/>
                    </a:ln>
                  </pic:spPr>
                </pic:pic>
              </a:graphicData>
            </a:graphic>
          </wp:inline>
        </w:drawing>
      </w:r>
      <w:r>
        <w:t xml:space="preserve">{width=88%}</w:t>
      </w:r>
    </w:p>
    <w:bookmarkEnd w:id="47"/>
    <w:bookmarkStart w:id="48" w:name="references"/>
    <w:p>
      <w:pPr>
        <w:pStyle w:val="Heading2"/>
      </w:pPr>
      <w:r>
        <w:t xml:space="preserve">References</w:t>
      </w:r>
    </w:p>
    <w:p>
      <w:pPr>
        <w:pStyle w:val="Compact"/>
        <w:numPr>
          <w:ilvl w:val="0"/>
          <w:numId w:val="1001"/>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1"/>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1"/>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1"/>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1"/>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1"/>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1"/>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1"/>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1"/>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1"/>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1"/>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1"/>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1"/>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1"/>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1"/>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1"/>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1"/>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1"/>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1"/>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1"/>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1"/>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1"/>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1"/>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1"/>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1"/>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1"/>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1"/>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1"/>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1"/>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1"/>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1"/>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2026-07-26T17:04:55Z</dcterms:created>
  <dcterms:modified xsi:type="dcterms:W3CDTF">2026-07-26T17:04:55Z</dcterms:modified>
</cp:coreProperties>
</file>

<file path=docProps/custom.xml><?xml version="1.0" encoding="utf-8"?>
<Properties xmlns="http://schemas.openxmlformats.org/officeDocument/2006/custom-properties" xmlns:vt="http://schemas.openxmlformats.org/officeDocument/2006/docPropsVTypes"/>
</file>