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twelfth sample. At 256 Hz this leaves 22 samples per channel and 352 features, and an effective sampling rate near 21.3 Hz. The effective rate is below twice the 30 Hz filter edge, so frequencies between about 10.7 and 30 Hz are not represented independently in the feature vector. The primary score is a cross-validated discriminability measure rather than a spectral estimate, and the shrinkage linear discriminant comparator computed from the identical features gave an almost identical result, but this remains a deviation from the documented decimation target and is reported rather than corrected.</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additionally require a usable calibration feature set for the participant-session, which is why 19,611 selections enter the analysis rather than 19,688.</w:t>
      </w:r>
    </w:p>
    <w:tbl>
      <w:tblPr>
        <w:tblStyle w:val="Table"/>
        <w:tblW w:type="pct" w:w="5000"/>
        <w:tblLayout w:type="fixed"/>
        <w:tblLook w:firstRow="1" w:lastRow="0" w:firstColumn="0" w:lastColumn="0" w:noHBand="0" w:noVBand="0" w:val="0020"/>
      </w:tblPr>
      <w:tblGrid>
        <w:gridCol w:w="1377"/>
        <w:gridCol w:w="1721"/>
        <w:gridCol w:w="1147"/>
        <w:gridCol w:w="3673"/>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p>
    <w:tbl>
      <w:tblPr>
        <w:tblStyle w:val="Table"/>
        <w:tblW w:type="pct" w:w="5000"/>
        <w:tblLayout w:type="fixed"/>
        <w:tblLook w:firstRow="1" w:lastRow="0" w:firstColumn="0" w:lastColumn="0" w:noHBand="0" w:noVBand="0" w:val="0020"/>
      </w:tblPr>
      <w:tblGrid>
        <w:gridCol w:w="1515"/>
        <w:gridCol w:w="1308"/>
        <w:gridCol w:w="1170"/>
        <w:gridCol w:w="1721"/>
        <w:gridCol w:w="2203"/>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0.104</w:t>
            </w:r>
          </w:p>
        </w:tc>
        <w:tc>
          <w:tcPr/>
          <w:p>
            <w:pPr>
              <w:pStyle w:val="Compact"/>
              <w:jc w:val="right"/>
            </w:pPr>
            <w:r>
              <w:t xml:space="preserve">0.048</w:t>
            </w:r>
          </w:p>
        </w:tc>
        <w:tc>
          <w:tcPr/>
          <w:p>
            <w:pPr>
              <w:pStyle w:val="Compact"/>
            </w:pPr>
            <w:r>
              <w:t xml:space="preserve">0.080 to 0.128</w:t>
            </w:r>
          </w:p>
        </w:tc>
        <w:tc>
          <w:tcPr/>
          <w:p>
            <w:pPr>
              <w:pStyle w:val="Compact"/>
            </w:pPr>
            <w:r>
              <w:t xml:space="preserve">0.001 to 0.208</w:t>
            </w:r>
          </w:p>
        </w:tc>
      </w:tr>
      <w:tr>
        <w:tc>
          <w:tcPr/>
          <w:p>
            <w:pPr>
              <w:pStyle w:val="Compact"/>
            </w:pPr>
            <w:r>
              <w:t xml:space="preserve">Brier skill score</w:t>
            </w:r>
          </w:p>
        </w:tc>
        <w:tc>
          <w:tcPr/>
          <w:p>
            <w:pPr>
              <w:pStyle w:val="Compact"/>
              <w:jc w:val="right"/>
            </w:pPr>
            <w:r>
              <w:t xml:space="preserve">0.167</w:t>
            </w:r>
          </w:p>
        </w:tc>
        <w:tc>
          <w:tcPr/>
          <w:p>
            <w:pPr>
              <w:pStyle w:val="Compact"/>
              <w:jc w:val="right"/>
            </w:pPr>
            <w:r>
              <w:t xml:space="preserve">0.210</w:t>
            </w:r>
          </w:p>
        </w:tc>
        <w:tc>
          <w:tcPr/>
          <w:p>
            <w:pPr>
              <w:pStyle w:val="Compact"/>
            </w:pPr>
            <w:r>
              <w:t xml:space="preserve">0.063 to 0.271</w:t>
            </w:r>
          </w:p>
        </w:tc>
        <w:tc>
          <w:tcPr/>
          <w:p>
            <w:pPr>
              <w:pStyle w:val="Compact"/>
            </w:pPr>
            <w:r>
              <w:t xml:space="preserve">-0.287 to 0.621</w:t>
            </w:r>
          </w:p>
        </w:tc>
      </w:tr>
      <w:tr>
        <w:tc>
          <w:tcPr/>
          <w:p>
            <w:pPr>
              <w:pStyle w:val="Compact"/>
            </w:pPr>
            <w:r>
              <w:t xml:space="preserve">Character-weighted AUC</w:t>
            </w:r>
          </w:p>
        </w:tc>
        <w:tc>
          <w:tcPr/>
          <w:p>
            <w:pPr>
              <w:pStyle w:val="Compact"/>
              <w:jc w:val="right"/>
            </w:pPr>
            <w:r>
              <w:t xml:space="preserve">0.710</w:t>
            </w:r>
          </w:p>
        </w:tc>
        <w:tc>
          <w:tcPr/>
          <w:p>
            <w:pPr>
              <w:pStyle w:val="Compact"/>
              <w:jc w:val="right"/>
            </w:pPr>
            <w:r>
              <w:t xml:space="preserve">0.105</w:t>
            </w:r>
          </w:p>
        </w:tc>
        <w:tc>
          <w:tcPr/>
          <w:p>
            <w:pPr>
              <w:pStyle w:val="Compact"/>
            </w:pPr>
            <w:r>
              <w:t xml:space="preserve">0.658 to 0.762</w:t>
            </w:r>
          </w:p>
        </w:tc>
        <w:tc>
          <w:tcPr/>
          <w:p>
            <w:pPr>
              <w:pStyle w:val="Compact"/>
            </w:pPr>
            <w:r>
              <w:t xml:space="preserve">0.482 to 0.937</w:t>
            </w:r>
          </w:p>
        </w:tc>
      </w:tr>
      <w:tr>
        <w:tc>
          <w:tcPr/>
          <w:p>
            <w:pPr>
              <w:pStyle w:val="Compact"/>
            </w:pPr>
            <w:r>
              <w:t xml:space="preserve">Calibration intercept</w:t>
            </w:r>
          </w:p>
        </w:tc>
        <w:tc>
          <w:tcPr/>
          <w:p>
            <w:pPr>
              <w:pStyle w:val="Compact"/>
              <w:jc w:val="right"/>
            </w:pPr>
            <w:r>
              <w:t xml:space="preserve">-0.078</w:t>
            </w:r>
          </w:p>
        </w:tc>
        <w:tc>
          <w:tcPr/>
          <w:p>
            <w:pPr>
              <w:pStyle w:val="Compact"/>
              <w:jc w:val="right"/>
            </w:pPr>
            <w:r>
              <w:t xml:space="preserve">1.073</w:t>
            </w:r>
          </w:p>
        </w:tc>
        <w:tc>
          <w:tcPr/>
          <w:p>
            <w:pPr>
              <w:pStyle w:val="Compact"/>
            </w:pPr>
            <w:r>
              <w:t xml:space="preserve">-0.612 to 0.456</w:t>
            </w:r>
          </w:p>
        </w:tc>
        <w:tc>
          <w:tcPr/>
          <w:p>
            <w:pPr>
              <w:pStyle w:val="Compact"/>
            </w:pPr>
            <w:r>
              <w:t xml:space="preserve">-2.405 to 2.249</w:t>
            </w:r>
          </w:p>
        </w:tc>
      </w:tr>
      <w:tr>
        <w:tc>
          <w:tcPr/>
          <w:p>
            <w:pPr>
              <w:pStyle w:val="Compact"/>
            </w:pPr>
            <w:r>
              <w:t xml:space="preserve">Calibration slope</w:t>
            </w:r>
          </w:p>
        </w:tc>
        <w:tc>
          <w:tcPr/>
          <w:p>
            <w:pPr>
              <w:pStyle w:val="Compact"/>
              <w:jc w:val="right"/>
            </w:pPr>
            <w:r>
              <w:t xml:space="preserve">1.167</w:t>
            </w:r>
          </w:p>
        </w:tc>
        <w:tc>
          <w:tcPr/>
          <w:p>
            <w:pPr>
              <w:pStyle w:val="Compact"/>
              <w:jc w:val="right"/>
            </w:pPr>
            <w:r>
              <w:t xml:space="preserve">0.586</w:t>
            </w:r>
          </w:p>
        </w:tc>
        <w:tc>
          <w:tcPr/>
          <w:p>
            <w:pPr>
              <w:pStyle w:val="Compact"/>
            </w:pPr>
            <w:r>
              <w:t xml:space="preserve">0.875 to 1.458</w:t>
            </w:r>
          </w:p>
        </w:tc>
        <w:tc>
          <w:tcPr/>
          <w:p>
            <w:pPr>
              <w:pStyle w:val="Compact"/>
            </w:pPr>
            <w:r>
              <w:t xml:space="preserve">-0.104 to 2.437</w:t>
            </w:r>
          </w:p>
        </w:tc>
      </w:tr>
    </w:tbl>
    <w:bookmarkEnd w:id="12"/>
    <w:bookmarkStart w:id="13" w:name="s5-association-at-three-levels"/>
    <w:p>
      <w:pPr>
        <w:pStyle w:val="Heading2"/>
      </w:pPr>
      <w:r>
        <w:t xml:space="preserve">S5. Association at three levels</w:t>
      </w:r>
    </w:p>
    <w:p>
      <w:pPr>
        <w:pStyle w:val="FirstParagraph"/>
      </w:pPr>
      <w:r>
        <w:rPr>
          <w:b/>
          <w:bCs/>
        </w:rPr>
        <w:t xml:space="preserve">Table S3. Association between calibration discriminability and observed accuracy.</w:t>
      </w:r>
    </w:p>
    <w:tbl>
      <w:tblPr>
        <w:tblStyle w:val="Table"/>
        <w:tblW w:type="pct" w:w="5000"/>
        <w:tblLayout w:type="fixed"/>
        <w:tblLook w:firstRow="1" w:lastRow="0" w:firstColumn="0" w:lastColumn="0" w:noHBand="0" w:noVBand="0" w:val="0020"/>
      </w:tblPr>
      <w:tblGrid>
        <w:gridCol w:w="4087"/>
        <w:gridCol w:w="1149"/>
        <w:gridCol w:w="1149"/>
        <w:gridCol w:w="1532"/>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0.699</w:t>
            </w:r>
          </w:p>
        </w:tc>
        <w:tc>
          <w:tcPr/>
          <w:p>
            <w:pPr>
              <w:pStyle w:val="Compact"/>
              <w:jc w:val="right"/>
            </w:pPr>
            <w:r>
              <w:t xml:space="preserve">0.700</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0.652</w:t>
            </w:r>
          </w:p>
        </w:tc>
        <w:tc>
          <w:tcPr/>
          <w:p>
            <w:pPr>
              <w:pStyle w:val="Compact"/>
              <w:jc w:val="right"/>
            </w:pPr>
            <w:r>
              <w:t xml:space="preserve">0.628</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0.701</w:t>
            </w:r>
          </w:p>
        </w:tc>
        <w:tc>
          <w:tcPr/>
          <w:p>
            <w:pPr>
              <w:pStyle w:val="Compact"/>
              <w:jc w:val="right"/>
            </w:pPr>
            <w:r>
              <w:t xml:space="preserve">0.749</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0.525</w:t>
            </w:r>
          </w:p>
        </w:tc>
        <w:tc>
          <w:tcPr/>
          <w:p>
            <w:pPr>
              <w:pStyle w:val="Compact"/>
              <w:jc w:val="right"/>
            </w:pPr>
            <w:r>
              <w:t xml:space="preserve">0.440</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0.702</w:t>
            </w:r>
          </w:p>
        </w:tc>
        <w:tc>
          <w:tcPr/>
          <w:p>
            <w:pPr>
              <w:pStyle w:val="Compact"/>
              <w:jc w:val="right"/>
            </w:pPr>
            <w:r>
              <w:t xml:space="preserve">0.620</w:t>
            </w:r>
          </w:p>
        </w:tc>
      </w:tr>
    </w:tbl>
    <w:p>
      <w:pPr>
        <w:pStyle w:val="BodyText"/>
      </w:pPr>
      <w:r>
        <w:t xml:space="preserve">Within-cohort Pearson r ranged from 0.083 to 0.920 with a median of 0.630 and was computed in all 18 contributing cohorts.</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bookmarkEnd w:id="13"/>
    <w:bookmarkStart w:id="14" w:name="s6-sensitivity-analyses"/>
    <w:p>
      <w:pPr>
        <w:pStyle w:val="Heading2"/>
      </w:pPr>
      <w:r>
        <w:t xml:space="preserve">S6. Sensitivity analyses</w:t>
      </w:r>
    </w:p>
    <w:p>
      <w:pPr>
        <w:pStyle w:val="FirstParagraph"/>
      </w:pPr>
      <w:r>
        <w:rPr>
          <w:b/>
          <w:bCs/>
        </w:rPr>
        <w:t xml:space="preserve">Table S4. Prespecified sensitivity analyses.</w:t>
      </w:r>
      <w:r>
        <w:t xml:space="preserve"> </w:t>
      </w:r>
      <w:r>
        <w:t xml:space="preserve">Each analysis re-runs the complete withheld-cohort procedure on the retained data.</w:t>
      </w:r>
    </w:p>
    <w:tbl>
      <w:tblPr>
        <w:tblStyle w:val="Table"/>
        <w:tblW w:type="pct" w:w="5000"/>
        <w:tblLayout w:type="fixed"/>
        <w:tblLook w:firstRow="1" w:lastRow="0" w:firstColumn="0" w:lastColumn="0" w:noHBand="0" w:noVBand="0" w:val="0020"/>
      </w:tblPr>
      <w:tblGrid>
        <w:gridCol w:w="1964"/>
        <w:gridCol w:w="552"/>
        <w:gridCol w:w="1166"/>
        <w:gridCol w:w="1043"/>
        <w:gridCol w:w="1964"/>
        <w:gridCol w:w="1227"/>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0.104</w:t>
            </w:r>
          </w:p>
        </w:tc>
        <w:tc>
          <w:tcPr/>
          <w:p>
            <w:pPr>
              <w:pStyle w:val="Compact"/>
              <w:jc w:val="right"/>
            </w:pPr>
            <w:r>
              <w:t xml:space="preserve">0.048</w:t>
            </w:r>
          </w:p>
        </w:tc>
        <w:tc>
          <w:tcPr/>
          <w:p>
            <w:pPr>
              <w:pStyle w:val="Compact"/>
            </w:pPr>
            <w:r>
              <w:t xml:space="preserve">0.001 to 0.208</w:t>
            </w:r>
          </w:p>
        </w:tc>
        <w:tc>
          <w:tcPr/>
          <w:p>
            <w:pPr>
              <w:pStyle w:val="Compact"/>
              <w:jc w:val="right"/>
            </w:pPr>
            <w:r>
              <w:t xml:space="preserve">0.586</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0.129</w:t>
            </w:r>
          </w:p>
        </w:tc>
        <w:tc>
          <w:tcPr/>
          <w:p>
            <w:pPr>
              <w:pStyle w:val="Compact"/>
              <w:jc w:val="right"/>
            </w:pPr>
            <w:r>
              <w:t xml:space="preserve">0.042</w:t>
            </w:r>
          </w:p>
        </w:tc>
        <w:tc>
          <w:tcPr/>
          <w:p>
            <w:pPr>
              <w:pStyle w:val="Compact"/>
            </w:pPr>
            <w:r>
              <w:t xml:space="preserve">0.034 to 0.224</w:t>
            </w:r>
          </w:p>
        </w:tc>
        <w:tc>
          <w:tcPr/>
          <w:p>
            <w:pPr>
              <w:pStyle w:val="Compact"/>
              <w:jc w:val="right"/>
            </w:pPr>
            <w:r>
              <w:t xml:space="preserve">0.674</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0.084</w:t>
            </w:r>
          </w:p>
        </w:tc>
        <w:tc>
          <w:tcPr/>
          <w:p>
            <w:pPr>
              <w:pStyle w:val="Compact"/>
              <w:jc w:val="right"/>
            </w:pPr>
            <w:r>
              <w:t xml:space="preserve">0.033</w:t>
            </w:r>
          </w:p>
        </w:tc>
        <w:tc>
          <w:tcPr/>
          <w:p>
            <w:pPr>
              <w:pStyle w:val="Compact"/>
            </w:pPr>
            <w:r>
              <w:t xml:space="preserve">0.012 to 0.157</w:t>
            </w:r>
          </w:p>
        </w:tc>
        <w:tc>
          <w:tcPr/>
          <w:p>
            <w:pPr>
              <w:pStyle w:val="Compact"/>
              <w:jc w:val="right"/>
            </w:pPr>
            <w:r>
              <w:t xml:space="preserve">0.438</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0.104</w:t>
            </w:r>
          </w:p>
        </w:tc>
        <w:tc>
          <w:tcPr/>
          <w:p>
            <w:pPr>
              <w:pStyle w:val="Compact"/>
              <w:jc w:val="right"/>
            </w:pPr>
            <w:r>
              <w:t xml:space="preserve">0.048</w:t>
            </w:r>
          </w:p>
        </w:tc>
        <w:tc>
          <w:tcPr/>
          <w:p>
            <w:pPr>
              <w:pStyle w:val="Compact"/>
            </w:pPr>
            <w:r>
              <w:t xml:space="preserve">0.001 to 0.207</w:t>
            </w:r>
          </w:p>
        </w:tc>
        <w:tc>
          <w:tcPr/>
          <w:p>
            <w:pPr>
              <w:pStyle w:val="Compact"/>
              <w:jc w:val="right"/>
            </w:pPr>
            <w:r>
              <w:t xml:space="preserve">0.586</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0.104</w:t>
            </w:r>
          </w:p>
        </w:tc>
        <w:tc>
          <w:tcPr/>
          <w:p>
            <w:pPr>
              <w:pStyle w:val="Compact"/>
              <w:jc w:val="right"/>
            </w:pPr>
            <w:r>
              <w:t xml:space="preserve">0.052</w:t>
            </w:r>
          </w:p>
        </w:tc>
        <w:tc>
          <w:tcPr/>
          <w:p>
            <w:pPr>
              <w:pStyle w:val="Compact"/>
            </w:pPr>
            <w:r>
              <w:t xml:space="preserve">-0.012 to 0.219</w:t>
            </w:r>
          </w:p>
        </w:tc>
        <w:tc>
          <w:tcPr/>
          <w:p>
            <w:pPr>
              <w:pStyle w:val="Compact"/>
              <w:jc w:val="right"/>
            </w:pPr>
            <w:r>
              <w:t xml:space="preserve">0.716</w:t>
            </w:r>
          </w:p>
        </w:tc>
      </w:tr>
      <w:tr>
        <w:tc>
          <w:tcPr/>
          <w:p>
            <w:pPr>
              <w:pStyle w:val="Compact"/>
            </w:pPr>
            <w:r>
              <w:t xml:space="preserve">ALS cohorts, prespecified primary subgroup</w:t>
            </w:r>
          </w:p>
        </w:tc>
        <w:tc>
          <w:tcPr/>
          <w:p>
            <w:pPr>
              <w:pStyle w:val="Compact"/>
              <w:jc w:val="right"/>
            </w:pPr>
            <w:r>
              <w:t xml:space="preserve">4</w:t>
            </w:r>
          </w:p>
        </w:tc>
        <w:tc>
          <w:tcPr/>
          <w:p>
            <w:pPr>
              <w:pStyle w:val="Compact"/>
              <w:jc w:val="right"/>
            </w:pPr>
            <w:r>
              <w:t xml:space="preserve">0.101</w:t>
            </w:r>
          </w:p>
        </w:tc>
        <w:tc>
          <w:tcPr/>
          <w:p>
            <w:pPr>
              <w:pStyle w:val="Compact"/>
              <w:jc w:val="right"/>
            </w:pPr>
            <w:r>
              <w:t xml:space="preserve">0.025</w:t>
            </w:r>
          </w:p>
        </w:tc>
        <w:tc>
          <w:tcPr/>
          <w:p>
            <w:pPr>
              <w:pStyle w:val="Compact"/>
            </w:pPr>
            <w:r>
              <w:t xml:space="preserve">0.013 to 0.189</w:t>
            </w:r>
          </w:p>
        </w:tc>
        <w:tc>
          <w:tcPr/>
          <w:p>
            <w:pPr>
              <w:pStyle w:val="Compact"/>
              <w:jc w:val="right"/>
            </w:pPr>
            <w:r>
              <w:t xml:space="preserve">0.204</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bookmarkEnd w:id="14"/>
    <w:bookmarkStart w:id="15" w:name="s7-comparator-predictors"/>
    <w:p>
      <w:pPr>
        <w:pStyle w:val="Heading2"/>
      </w:pPr>
      <w:r>
        <w:t xml:space="preserve">S7.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w:t>
      </w:r>
    </w:p>
    <w:bookmarkEnd w:id="15"/>
    <w:bookmarkStart w:id="16" w:name="s8-reproducibility"/>
    <w:p>
      <w:pPr>
        <w:pStyle w:val="Heading2"/>
      </w:pPr>
      <w:r>
        <w:t xml:space="preserve">S8. Reproducibility</w:t>
      </w:r>
    </w:p>
    <w:p>
      <w:pPr>
        <w:pStyle w:val="FirstParagraph"/>
      </w:pPr>
      <w:r>
        <w:t xml:space="preserve">The analysis pipeline executes archive validation, source metadata extraction, feedback-phase reconstruction, calibration feature extraction, withheld-cohort validation, the widened-design analyses, and sensitivity analyses.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als_moderation.csv</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 </w:t>
      </w:r>
      <w:r>
        <w:t xml:space="preserve">and</w:t>
      </w:r>
      <w:r>
        <w:t xml:space="preserve"> </w:t>
      </w:r>
      <w:r>
        <w:rPr>
          <w:rStyle w:val="VerbatimChar"/>
        </w:rPr>
        <w:t xml:space="preserve">sensitivity_analyses.csv</w:t>
      </w:r>
      <w:r>
        <w:t xml:space="preserve">. The repository test suite contains 41 tests covering provenance, European Data Format parsing, event reconstruction, feature extraction, validation, the widened-design analyses, and rendering.</w:t>
      </w:r>
    </w:p>
    <w:bookmarkEnd w:id="16"/>
    <w:bookmarkStart w:id="17" w:name="s9-transparency-statement"/>
    <w:p>
      <w:pPr>
        <w:pStyle w:val="Heading2"/>
      </w:pPr>
      <w:r>
        <w:t xml:space="preserve">S9. Transparency statement</w:t>
      </w:r>
    </w:p>
    <w:p>
      <w:pPr>
        <w:pStyle w:val="FirstParagraph"/>
      </w:pPr>
      <w:r>
        <w:t xml:space="preserve">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2026-07-26T17:05:00Z</dcterms:created>
  <dcterms:modified xsi:type="dcterms:W3CDTF">2026-07-26T17:05:00Z</dcterms:modified>
</cp:coreProperties>
</file>

<file path=docProps/custom.xml><?xml version="1.0" encoding="utf-8"?>
<Properties xmlns="http://schemas.openxmlformats.org/officeDocument/2006/custom-properties" xmlns:vt="http://schemas.openxmlformats.org/officeDocument/2006/docPropsVTypes"/>
</file>