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For a session with score s, estimated accuracy is the inverse logit of a + b (s - m) / d, where m, d are the development mean/SD and a, b the fitted coefficients (fold values in supplement Table S12, so any estimate can be recomputed). A session contributes to the fit in proportion to its characters, so the quantity estimated is the accuracy of a randomly chosen character selection; refitting with sessions, and separately participants, weighted equally moved the pooled error by less than 0.003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an ALS subgroup analysis within the four ALS cohorts alone, a transfer analysis developing the mapping on the other cohorts with every ALS cohort withheld simultaneously, and a moderation analysis testing whether the cohort-specific calibration slope (from a binomial regression of observed correctness fitted within each withheld cohort, clustered on participant) differed between ALS and other cohorts, with the cohort as the unit of comparison since cohort type does not vary within a cohort’s records. Because four cohorts cannot support a single decisive test, it is reported three ways: an unweighted Welch’s t-test on the 18 cohort-specific slopes (primary); an exact permutation test enumerating all 3,060 ALS-label assignments, studentised with the same statistic; and a random-effects meta-regression with Knapp-Hartung inference.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accuracy in the withheld cohort, referenced against a development-mean benchmark, a held-out-cohort-mean benchmark, and skill against the development-mean benchmark (one minus the ratio of their errors; reported against this benchmark throughout unless the cohort’s own mean is named). The cohort’s-own-mean benchmark is harder pooled but easier in 7 of 18 cohorts, since mean absolute error is minimised by the median rather than the mean. Secondary metrics were root mean squared error, character-weighted Brier score, Brier skill score, calibration intercept and slope, and character-weighted AUC, with intercept and slope reported per cohort as well as pooled.[26,27]</w:t>
      </w:r>
    </w:p>
    <w:p>
      <w:pPr>
        <w:pStyle w:val="BodyText"/>
      </w:pPr>
      <w:r>
        <w:t xml:space="preserve">Two uncertainty statements are reported and are not interchangeable. Bootstrap confidence intervals (2,000 deterministic replicates, resampling development and withheld participant clusters within source study and refitting) describe uncertainty conditional on the observed cohorts. Separately, treating the source study as the unit of replication, withheld-cohort estimates were summarised by their mean and between-study SD, with a t-distributed interval for the mean and a prediction interval for a cohort not represented in the archive, the quantity a reader should use for their own cohort.[16,17] Cohort-level mean absolute error was pooled on the log scale, since it cannot be negative; the reported mean is the back-transformed geometric mean and its SD stays on the log scale.</w:t>
      </w:r>
    </w:p>
    <w:p>
      <w:pPr>
        <w:pStyle w:val="BodyText"/>
      </w:pPr>
      <w:r>
        <w:t xml:space="preserve">For the calibration intercept and slope, a random-effects meta-analysis of the 18 cohort estimates replaced that summary, since cohorts differ in size and the uncorrected SD counts sampling error as between-cohort variation. Tau was estimated by the method of moments[28] with a Q-profile interval,[29] the Paule and Mandel estimate[30] reported alongside it, and the Q test, I²[31] and a 95% prediction interval accompany each; all 18 cohorts were fitted and none dropped. Under the participant-cluster bootstrap (Discussion), Study S1’s resamples fell onto the separation boundary often enough that fewer than half of its 2,000 replicates were identified. Repeating cluster-robust pooling on the identical 17 cohorts the bootstrap identified gave tau = 0.44 (slope) and 0.87 (intercept), no closer to the bootstrap’s own 0.37/0.77 than the all-18 values of 0.43/0.87 were, so most of the gap reflects the variance estimator rather than Study S1’s exclusion (supplement, S4).</w:t>
      </w:r>
    </w:p>
    <w:p>
      <w:pPr>
        <w:pStyle w:val="BodyText"/>
      </w:pPr>
      <w:r>
        <w:t xml:space="preserve">The primary specification clusters standard errors on participant, since the 739 records come from 271 participants and conditions within one session share a predictor value by construction; treating each record as independent would understate within-cohort variance and inflate the estimated between-cohort variance. A quasi-binomial specification and the uncorrected model-based specification are reported as sensitivities; results agree at the pooled level, though cohort by cohort standard errors differ by up to 40%, with clustering shrinking the standard error in 3 of 18 cohorts.</w:t>
      </w:r>
    </w:p>
    <w:p>
      <w:pPr>
        <w:pStyle w:val="BodyText"/>
      </w:pPr>
      <w:r>
        <w:t xml:space="preserve">Each cohort contains between 5 and 24 participants, and a cluster-robust variance is downward-biased below roughly 30 clusters even with the finite-sample correction applied here, which inflates tau and I² in the direction that favours the conclusion: a 20% understatement of the within-cohort variances would put the slope I² below the conventional 75% threshold. I² is therefore reported with its confidence interval as a description only, and no conclusion in this paper rests on its position relative to that threshold; the conclusion is instead checked by refitting at each confidence limit of tau and by repooling with every within-cohort variance inflated by a common factor.</w:t>
      </w:r>
    </w:p>
    <w:p>
      <w:pPr>
        <w:pStyle w:val="BodyText"/>
      </w:pPr>
      <w:r>
        <w:t xml:space="preserve">Protocol descriptors were tested as moderators of the cohort calibration slope in the same framework, standardised per between-cohort SD, with Knapp-Hartung inference. Ten were available. The median inter-selection interval, the difference between consecutive selections within a recording file (never across a file boundary), was summarised as the median of per-file medians over all reconstructed selections; a cohort was classed fixed-interval when the relative spread within a file was at most 1e-6, separating a spread of at most 8e-16 from one of at least 0.050. The largest target index and number of distinct targets were empirical proxies for speller-matrix size; grid size and stimulus paradigm were transcribed from the archive’s own data descriptor, with a study coded as checkerboard-paradigm if any documented paradigm was a checkerboard variant (CB, CBcol, sCB): only 2 of 18 studies (Study D, Study J) lacked one. The equipment code (gUSBAmp) is a single archive-wide value, not per-study, so could not be a moderator. P values were corrected across the ten by the Holm procedure. The variance share a moderator accounts for is one minus the ratio of residual tau squared with it to that without, reported as zero where that ratio exceeds one.</w:t>
      </w:r>
    </w:p>
    <w:p>
      <w:pPr>
        <w:pStyle w:val="BodyText"/>
      </w:pPr>
      <w:r>
        <w:t xml:space="preserve">Because records are session-conditions nested within sessions within participants, the intraclass correlation of session accuracy within participant is reported alongside an effective number of independent sessions, with associations reported as Pearson and Spearman coefficients at the session, study-centred and participant levels. Precision for the calibration slope is the departure from unity a Wald z test could have detected with 80% power at a two-sided 5% threshold (2.80 times the pooled slope’s standard error); this concerns the average slope, not its between-cohort spread (tau). Four sensitivity analyses, listed before any was run on the widened cohort, covered restriction to cohorts with meaningful outcome variance, exclusion of high-artifact-rejection records, exclusion of small-denominator records, and leave-two-studies-out development (16-cohort development; each cohort in 17 of 153 pairs, its 17 estimates averaged before pooling since a pair shares a cohort with 32 others).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involving no new data collection, participant contact, or intervention, so institutional review board approval was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S2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S3),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S8).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S2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S7). The cohort-subset comparison restricted to the cohorts without a documented ALS population, shown alongside these checks in Table S7 for comparison rather than as one of the four, gave a consistent result as well. Every comparator predictor named in the Methods was run through the same procedure and is reported in full in Table S9;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2026-07-29T13:18:21Z</dcterms:created>
  <dcterms:modified xsi:type="dcterms:W3CDTF">2026-07-29T13:18:21Z</dcterms:modified>
</cp:coreProperties>
</file>

<file path=docProps/custom.xml><?xml version="1.0" encoding="utf-8"?>
<Properties xmlns="http://schemas.openxmlformats.org/officeDocument/2006/custom-properties" xmlns:vt="http://schemas.openxmlformats.org/officeDocument/2006/docPropsVTypes"/>
</file>