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 A projected-accuracy measure built from flash-level data and a multi-feature predictor built from a separate rapid-serial-visual-presentation task have made related predictions from within-session or within-study data.[37,38]</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 To our knowledge, no published study has evaluated whether a calibration-derived score’s fitted mapping to online accuracy transports to a source study withheld from its development, as distinct from evaluating the score’s within-cohort association or its within-study discrimination.</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distinct P300-speller studies under a shared recording montage now make a larger number of withheld cohorts available.[18] A recent cross-dataset evaluation aligned P300 event-related-potential signals across independent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I²[31] and a 95% prediction interval for an unrepresented cohort accompany each. All 18 cohorts were fitted under the cluster, model and quasi-binomial specifications and none was dropped. Under the participant-cluster bootstrap check reported in the Discussion, Study 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I², so the I² reported below is an upper estimate: a 20% understatement of the within-cohort variances would put the slope I² below the conventional 75% threshold. I²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I² are given beneath each panel; I²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I²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I²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S11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 H the model was less accurate than both benchmarks, and it is the same cohort that fails the development-mean benchmark. Four are cohorts whose observed accuracy sits high enough that their own mean already tracks nearly every record: in Study E, Study R, Study S2 and Study S1, accuracy averages 0.921, 0.963, 0.976 and 0.997 and the own-mean benchmark errs by 0.049, 0.047, 0.035 and 0.005, leaving little error for any predictor to reduce. Study S1 is the limiting case, where that near-zero denominator makes the ratio large and negative and not comparable with the rest. In the sixth, Study 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S11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S11.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(commit eaabf263425c19494d8fcaf27c84ca86ab5122ef).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2026-07-28T17:43:18Z</dcterms:created>
  <dcterms:modified xsi:type="dcterms:W3CDTF">2026-07-28T17:43:18Z</dcterms:modified>
</cp:coreProperties>
</file>

<file path=docProps/custom.xml><?xml version="1.0" encoding="utf-8"?>
<Properties xmlns="http://schemas.openxmlformats.org/officeDocument/2006/custom-properties" xmlns:vt="http://schemas.openxmlformats.org/officeDocument/2006/docPropsVTypes"/>
</file>