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0.101</w:t>
            </w:r>
          </w:p>
        </w:tc>
        <w:tc>
          <w:tcPr/>
          <w:p>
            <w:pPr>
              <w:pStyle w:val="Compact"/>
              <w:jc w:val="right"/>
            </w:pPr>
            <w:r>
              <w:t xml:space="preserve">0.047</w:t>
            </w:r>
          </w:p>
        </w:tc>
        <w:tc>
          <w:tcPr/>
          <w:p>
            <w:pPr>
              <w:pStyle w:val="Compact"/>
            </w:pPr>
            <w:r>
              <w:t xml:space="preserve">0.077 to 0.124</w:t>
            </w:r>
          </w:p>
        </w:tc>
        <w:tc>
          <w:tcPr/>
          <w:p>
            <w:pPr>
              <w:pStyle w:val="Compact"/>
            </w:pPr>
            <w:r>
              <w:t xml:space="preserve">-0.002 to 0.203</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0.093 here, the mean of that subgroup's four cohort errors, where the main text reports 0.091 for the same analysis pooled over all of its withheld records. Table S6 draws the same distinction between its pooled and cohort-mean columns.</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0.124</w:t>
            </w:r>
          </w:p>
        </w:tc>
        <w:tc>
          <w:tcPr/>
          <w:p>
            <w:pPr>
              <w:pStyle w:val="Compact"/>
              <w:jc w:val="right"/>
            </w:pPr>
            <w:r>
              <w:t xml:space="preserve">0.042</w:t>
            </w:r>
          </w:p>
        </w:tc>
        <w:tc>
          <w:tcPr/>
          <w:p>
            <w:pPr>
              <w:pStyle w:val="Compact"/>
            </w:pPr>
            <w:r>
              <w:t xml:space="preserve">0.029 to 0.220</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0.087</w:t>
            </w:r>
          </w:p>
        </w:tc>
        <w:tc>
          <w:tcPr/>
          <w:p>
            <w:pPr>
              <w:pStyle w:val="Compact"/>
              <w:jc w:val="right"/>
            </w:pPr>
            <w:r>
              <w:t xml:space="preserve">0.035</w:t>
            </w:r>
          </w:p>
        </w:tc>
        <w:tc>
          <w:tcPr/>
          <w:p>
            <w:pPr>
              <w:pStyle w:val="Compact"/>
            </w:pPr>
            <w:r>
              <w:t xml:space="preserve">0.011 to 0.164</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0.100</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0.101</w:t>
            </w:r>
          </w:p>
        </w:tc>
        <w:tc>
          <w:tcPr/>
          <w:p>
            <w:pPr>
              <w:pStyle w:val="Compact"/>
              <w:jc w:val="right"/>
            </w:pPr>
            <w:r>
              <w:t xml:space="preserve">0.052</w:t>
            </w:r>
          </w:p>
        </w:tc>
        <w:tc>
          <w:tcPr/>
          <w:p>
            <w:pPr>
              <w:pStyle w:val="Compact"/>
            </w:pPr>
            <w:r>
              <w:t xml:space="preserve">-0.015 to 0.216</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0.093</w:t>
            </w:r>
          </w:p>
        </w:tc>
        <w:tc>
          <w:tcPr/>
          <w:p>
            <w:pPr>
              <w:pStyle w:val="Compact"/>
              <w:jc w:val="right"/>
            </w:pPr>
            <w:r>
              <w:t xml:space="preserve">0.016</w:t>
            </w:r>
          </w:p>
        </w:tc>
        <w:tc>
          <w:tcPr/>
          <w:p>
            <w:pPr>
              <w:pStyle w:val="Compact"/>
            </w:pPr>
            <w:r>
              <w:t xml:space="preserve">0.035 to 0.151</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0.102</w:t>
            </w:r>
          </w:p>
        </w:tc>
        <w:tc>
          <w:tcPr/>
          <w:p>
            <w:pPr>
              <w:pStyle w:val="Compact"/>
              <w:jc w:val="right"/>
            </w:pPr>
            <w:r>
              <w:t xml:space="preserve">0.046</w:t>
            </w:r>
          </w:p>
        </w:tc>
        <w:tc>
          <w:tcPr/>
          <w:p>
            <w:pPr>
              <w:pStyle w:val="Compact"/>
            </w:pPr>
            <w:r>
              <w:t xml:space="preserve">0.001 to 0.202</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0.107</w:t>
            </w:r>
          </w:p>
        </w:tc>
        <w:tc>
          <w:tcPr/>
          <w:p>
            <w:pPr>
              <w:pStyle w:val="Compact"/>
              <w:jc w:val="right"/>
            </w:pPr>
            <w:r>
              <w:t xml:space="preserve">0.047</w:t>
            </w:r>
          </w:p>
        </w:tc>
        <w:tc>
          <w:tcPr/>
          <w:p>
            <w:pPr>
              <w:pStyle w:val="Compact"/>
            </w:pPr>
            <w:r>
              <w:t xml:space="preserve">0.006 to 0.208</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0.135</w:t>
            </w:r>
          </w:p>
        </w:tc>
        <w:tc>
          <w:tcPr/>
          <w:p>
            <w:pPr>
              <w:pStyle w:val="Compact"/>
              <w:jc w:val="right"/>
            </w:pPr>
            <w:r>
              <w:t xml:space="preserve">0.041</w:t>
            </w:r>
          </w:p>
        </w:tc>
        <w:tc>
          <w:tcPr/>
          <w:p>
            <w:pPr>
              <w:pStyle w:val="Compact"/>
            </w:pPr>
            <w:r>
              <w:t xml:space="preserve">0.045 to 0.225</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0.149</w:t>
            </w:r>
          </w:p>
        </w:tc>
        <w:tc>
          <w:tcPr/>
          <w:p>
            <w:pPr>
              <w:pStyle w:val="Compact"/>
              <w:jc w:val="right"/>
            </w:pPr>
            <w:r>
              <w:t xml:space="preserve">0.040</w:t>
            </w:r>
          </w:p>
        </w:tc>
        <w:tc>
          <w:tcPr/>
          <w:p>
            <w:pPr>
              <w:pStyle w:val="Compact"/>
            </w:pPr>
            <w:r>
              <w:t xml:space="preserve">0.061 to 0.236</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0.150</w:t>
            </w:r>
          </w:p>
        </w:tc>
        <w:tc>
          <w:tcPr/>
          <w:p>
            <w:pPr>
              <w:pStyle w:val="Compact"/>
              <w:jc w:val="right"/>
            </w:pPr>
            <w:r>
              <w:t xml:space="preserve">0.040</w:t>
            </w:r>
          </w:p>
        </w:tc>
        <w:tc>
          <w:tcPr/>
          <w:p>
            <w:pPr>
              <w:pStyle w:val="Compact"/>
            </w:pPr>
            <w:r>
              <w:t xml:space="preserve">0.063 to 0.238</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0.090</w:t>
            </w:r>
          </w:p>
        </w:tc>
        <w:tc>
          <w:tcPr/>
          <w:p>
            <w:pPr>
              <w:pStyle w:val="Compact"/>
              <w:jc w:val="right"/>
            </w:pPr>
            <w:r>
              <w:t xml:space="preserve">0.009</w:t>
            </w:r>
          </w:p>
        </w:tc>
        <w:tc>
          <w:tcPr/>
          <w:p>
            <w:pPr>
              <w:pStyle w:val="Compact"/>
            </w:pPr>
            <w:r>
              <w:t xml:space="preserve">0.046 to 0.133</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0" w:name="Xa85732435e5d406fab90de6f5dd53100aecca3c"/>
    <w:p>
      <w:pPr>
        <w:pStyle w:val="Heading2"/>
      </w:pPr>
      <w:r>
        <w:t xml:space="preserve">S9. Predictor reliability and disattenuated heterogeneity</w:t>
      </w:r>
    </w:p>
    <w:p>
      <w:pPr>
        <w:pStyle w:val="FirstParagraph"/>
      </w:pPr>
      <w:r>
        <w:t xml:space="preserve">The calibration score is not measured equally well in every cohort. Sessions differ several-fold in calibration files, cross-validation folds and surviving epochs, and the standard error of the score itself ranges from 0.008 to 0.031 across cohorts, a fourfold spread, tabulated per cohort in</w:t>
      </w:r>
      <w:r>
        <w:t xml:space="preserve"> </w:t>
      </w:r>
      <w:r>
        <w:rPr>
          <w:rStyle w:val="VerbatimChar"/>
        </w:rPr>
        <w:t xml:space="preserve">predictor_precision.csv</w:t>
      </w:r>
      <w:r>
        <w:t xml:space="preserve">.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990"/>
        <w:gridCol w:w="1237"/>
        <w:gridCol w:w="1608"/>
        <w:gridCol w:w="1732"/>
        <w:gridCol w:w="2351"/>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1.602</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w:t>
      </w:r>
      <w:r>
        <w:rPr>
          <w:vertAlign w:val="superscript"/>
        </w:rPr>
        <w:t xml:space="preserve">-9 against p = 2.3 x 10</w:t>
      </w:r>
      <w:r>
        <w:t xml:space="preserve">-10.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2816"/>
        <w:gridCol w:w="2200"/>
        <w:gridCol w:w="616"/>
        <w:gridCol w:w="792"/>
        <w:gridCol w:w="528"/>
        <w:gridCol w:w="968"/>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0"/>
    <w:bookmarkStart w:id="23" w:name="s10-reproducibility"/>
    <w:p>
      <w:pPr>
        <w:pStyle w:val="Heading2"/>
      </w:pPr>
      <w:r>
        <w:t xml:space="preserve">S10. Reproducibility</w:t>
      </w:r>
    </w:p>
    <w:bookmarkStart w:id="21"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1"/>
    <w:bookmarkStart w:id="22"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2"/>
    <w:bookmarkEnd w:id="23"/>
    <w:bookmarkStart w:id="24" w:name="s11-transparency-statement"/>
    <w:p>
      <w:pPr>
        <w:pStyle w:val="Heading2"/>
      </w:pPr>
      <w:r>
        <w:t xml:space="preserve">S11. Transparency statement</w:t>
      </w:r>
    </w:p>
    <w:p>
      <w:pPr>
        <w:pStyle w:val="FirstParagraph"/>
      </w:pPr>
      <w:r>
        <w:t xml:space="preserve">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2026-07-27T08:52:53Z</dcterms:created>
  <dcterms:modified xsi:type="dcterms:W3CDTF">2026-07-27T08:52:53Z</dcterms:modified>
</cp:coreProperties>
</file>

<file path=docProps/custom.xml><?xml version="1.0" encoding="utf-8"?>
<Properties xmlns="http://schemas.openxmlformats.org/officeDocument/2006/custom-properties" xmlns:vt="http://schemas.openxmlformats.org/officeDocument/2006/docPropsVTypes"/>
</file>