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fb15617948e5174185bc31f829d121ce3cf945"/>
    <w:p>
      <w:pPr>
        <w:pStyle w:val="Heading1"/>
      </w:pPr>
      <w:r>
        <w:t xml:space="preserve">TRIPOD checklist for prediction model development and validation</w:t>
      </w:r>
    </w:p>
    <w:p>
      <w:pPr>
        <w:pStyle w:val="FirstParagraph"/>
      </w:pPr>
      <w:r>
        <w:t xml:space="preserve">Completed against</w:t>
      </w:r>
      <w:r>
        <w:t xml:space="preserve"> </w:t>
      </w:r>
      <w:r>
        <w:rPr>
          <w:rStyle w:val="VerbatimChar"/>
        </w:rPr>
        <w:t xml:space="preserve">manuscript/manuscript_expanded.md</w:t>
      </w:r>
      <w:r>
        <w:t xml:space="preserve"> </w:t>
      </w:r>
      <w:r>
        <w:t xml:space="preserve">(this study is a validation of a previously</w:t>
      </w:r>
      <w:r>
        <w:t xml:space="preserve"> </w:t>
      </w:r>
      <w:r>
        <w:t xml:space="preserve">proposed calibration-to-accuracy relationship, not a development of a new model; items specific to</w:t>
      </w:r>
      <w:r>
        <w:t xml:space="preserve"> </w:t>
      </w:r>
      <w:r>
        <w:t xml:space="preserve">model development are marked not applicable and the reason is given). Section and table references</w:t>
      </w:r>
      <w:r>
        <w:t xml:space="preserve"> </w:t>
      </w:r>
      <w:r>
        <w:t xml:space="preserve">below follow the manuscript’s current headings; where a checklist item is only partly addressed in</w:t>
      </w:r>
      <w:r>
        <w:t xml:space="preserve"> </w:t>
      </w:r>
      <w:r>
        <w:t xml:space="preserve">the text, that gap is stated rather than papered over.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Reported on page/section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and abstract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Identify as a validation study; specify the target population and outcome</w:t>
            </w:r>
          </w:p>
        </w:tc>
        <w:tc>
          <w:tcPr/>
          <w:p>
            <w:pPr>
              <w:pStyle w:val="Compact"/>
            </w:pPr>
            <w:r>
              <w:t xml:space="preserve">Title; Abstract, Objective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Structured summary of objectives, design, setting, participants, predictor, outcome, statistical analysis, results, conclusions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Explain the medical context and rationale</w:t>
            </w:r>
          </w:p>
        </w:tc>
        <w:tc>
          <w:tcPr/>
          <w:p>
            <w:pPr>
              <w:pStyle w:val="Compact"/>
            </w:pPr>
            <w:r>
              <w:t xml:space="preserve">Introduction, paragraphs 1-2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State study objectives, including whether developing or validating</w:t>
            </w:r>
          </w:p>
        </w:tc>
        <w:tc>
          <w:tcPr/>
          <w:p>
            <w:pPr>
              <w:pStyle w:val="Compact"/>
            </w:pPr>
            <w:r>
              <w:t xml:space="preserve">Introduction, final paragraph; Methods, Study Design and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Source of data</w:t>
            </w:r>
          </w:p>
        </w:tc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Study design, data source</w:t>
            </w:r>
          </w:p>
        </w:tc>
        <w:tc>
          <w:tcPr/>
          <w:p>
            <w:pPr>
              <w:pStyle w:val="Compact"/>
            </w:pPr>
            <w:r>
              <w:t xml:space="preserve">Methods, Study Design and Reporting (design); Methods, Data Source and Cohort (archive)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Study dates</w:t>
            </w:r>
          </w:p>
        </w:tc>
        <w:tc>
          <w:tcPr/>
          <w:p>
            <w:pPr>
              <w:pStyle w:val="Compact"/>
            </w:pPr>
            <w:r>
              <w:t xml:space="preserve">Methods, Data Source and Cohort (archive version and digest; no recruitment dates, because this is a legacy public archive)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Setting and locations of centres</w:t>
            </w:r>
          </w:p>
        </w:tc>
        <w:tc>
          <w:tcPr/>
          <w:p>
            <w:pPr>
              <w:pStyle w:val="Compact"/>
            </w:pPr>
            <w:r>
              <w:t xml:space="preserve">Not fully reported; the archive documentation does not specify recording sites or locations for the individual source studies (Methods, Data Source and Cohort)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Eligibility criteria</w:t>
            </w:r>
          </w:p>
        </w:tc>
        <w:tc>
          <w:tcPr/>
          <w:p>
            <w:pPr>
              <w:pStyle w:val="Compact"/>
            </w:pPr>
            <w:r>
              <w:t xml:space="preserve">Methods, Data Source and Cohort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5c</w:t>
            </w:r>
          </w:p>
        </w:tc>
        <w:tc>
          <w:tcPr/>
          <w:p>
            <w:pPr>
              <w:pStyle w:val="Compact"/>
            </w:pPr>
            <w:r>
              <w:t xml:space="preserve">Treatments received, if relevant</w:t>
            </w:r>
          </w:p>
        </w:tc>
        <w:tc>
          <w:tcPr/>
          <w:p>
            <w:pPr>
              <w:pStyle w:val="Compact"/>
            </w:pPr>
            <w:r>
              <w:t xml:space="preserve">Not applicable; this is a retrospective secondary analysis of archived P300-speller task-performance data with no clinical treatment or intervention (Methods, Ethics:</w:t>
            </w:r>
            <w:r>
              <w:t xml:space="preserve"> </w:t>
            </w:r>
            <w:r>
              <w:t xml:space="preserve">“no new data collection, no participant contact, and no intervention”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6a</w:t>
            </w:r>
          </w:p>
        </w:tc>
        <w:tc>
          <w:tcPr/>
          <w:p>
            <w:pPr>
              <w:pStyle w:val="Compact"/>
            </w:pPr>
            <w:r>
              <w:t xml:space="preserve">Outcome definition and how/when assessed</w:t>
            </w:r>
          </w:p>
        </w:tc>
        <w:tc>
          <w:tcPr/>
          <w:p>
            <w:pPr>
              <w:pStyle w:val="Compact"/>
            </w:pPr>
            <w:r>
              <w:t xml:space="preserve">Methods, Outcome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Blinding of outcome assessment</w:t>
            </w:r>
          </w:p>
        </w:tc>
        <w:tc>
          <w:tcPr/>
          <w:p>
            <w:pPr>
              <w:pStyle w:val="Compact"/>
            </w:pPr>
            <w:r>
              <w:t xml:space="preserve">Not applicable; outcome is a deterministic reconstruction from archived event logs, not an assessor judgement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Predictors</w:t>
            </w:r>
          </w:p>
        </w:tc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Definition and measurement of predictors</w:t>
            </w:r>
          </w:p>
        </w:tc>
        <w:tc>
          <w:tcPr/>
          <w:p>
            <w:pPr>
              <w:pStyle w:val="Compact"/>
            </w:pPr>
            <w:r>
              <w:t xml:space="preserve">Methods, Calibration Predictor; Methods, What the Calibration Score Is, and What It Is Not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Blinding of predictor assessment</w:t>
            </w:r>
          </w:p>
        </w:tc>
        <w:tc>
          <w:tcPr/>
          <w:p>
            <w:pPr>
              <w:pStyle w:val="Compact"/>
            </w:pPr>
            <w:r>
              <w:t xml:space="preserve">Methods, Study Design and Reporting (calibration and outcome data are kept to separate protocol phases, not a demonstrated temporal precedence)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Sample 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Explain how sample size was arrived at</w:t>
            </w:r>
          </w:p>
        </w:tc>
        <w:tc>
          <w:tcPr/>
          <w:p>
            <w:pPr>
              <w:pStyle w:val="Compact"/>
            </w:pPr>
            <w:r>
              <w:t xml:space="preserve">Methods, Data Source and Cohort (all eligible archive studies used, not a powered sample)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Handling of missing predictor/outcome data</w:t>
            </w:r>
          </w:p>
        </w:tc>
        <w:tc>
          <w:tcPr/>
          <w:p>
            <w:pPr>
              <w:pStyle w:val="Compact"/>
            </w:pPr>
            <w:r>
              <w:t xml:space="preserve">Methods, Calibration Predictor (epoch- and session-level inclusion thresholds); Methods, Outcome (feedback-phase eligibility); Results, Cohort; Table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Statistical analysis methods</w:t>
            </w:r>
          </w:p>
        </w:tc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t xml:space="preserve">Development: how predictors were handled in the analyses</w:t>
            </w:r>
          </w:p>
        </w:tc>
        <w:tc>
          <w:tcPr/>
          <w:p>
            <w:pPr>
              <w:pStyle w:val="Compact"/>
            </w:pPr>
            <w:r>
              <w:t xml:space="preserve">Methods, Model Specification (calibration score standardised to the development-study mean and standard deviation and entered as a single continuous term)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Development: type of model, model-building procedures (including predictor selection), and method for internal validation</w:t>
            </w:r>
          </w:p>
        </w:tc>
        <w:tc>
          <w:tcPr/>
          <w:p>
            <w:pPr>
              <w:pStyle w:val="Compact"/>
            </w:pPr>
            <w:r>
              <w:t xml:space="preserve">Methods, Model Specification (logistic regression of character-level correctness on the single, pre-defined calibration score; no predictor-selection procedure, because only one predictor was evaluated). This design has no internal-validation step distinct from the leave-one-cohort-out procedure itself; that procedure is the validation and is reported under 10c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10c</w:t>
            </w:r>
          </w:p>
        </w:tc>
        <w:tc>
          <w:tcPr/>
          <w:p>
            <w:pPr>
              <w:pStyle w:val="Compact"/>
            </w:pPr>
            <w:r>
              <w:t xml:space="preserve">Validation: how the predictions were calculated</w:t>
            </w:r>
          </w:p>
        </w:tc>
        <w:tc>
          <w:tcPr/>
          <w:p>
            <w:pPr>
              <w:pStyle w:val="Compact"/>
            </w:pPr>
            <w:r>
              <w:t xml:space="preserve">Methods, Model Specification (predicted accuracy is the inverse logit of a + b(s-m)/d, using that fold’s fitted coefficients, Supplementary Table S12); Methods, Validation Design (one source study withheld at a time)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10d</w:t>
            </w:r>
          </w:p>
        </w:tc>
        <w:tc>
          <w:tcPr/>
          <w:p>
            <w:pPr>
              <w:pStyle w:val="Compact"/>
            </w:pPr>
            <w:r>
              <w:t xml:space="preserve">Measures used to assess model performance</w:t>
            </w:r>
          </w:p>
        </w:tc>
        <w:tc>
          <w:tcPr/>
          <w:p>
            <w:pPr>
              <w:pStyle w:val="Compact"/>
            </w:pPr>
            <w:r>
              <w:t xml:space="preserve">Methods, Statistical Analysis (mean absolute error against development-mean and held-out-cohort-mean benchmarks; root mean squared error; character-weighted Brier score and Brier skill score; calibration intercept and slope; character-weighted area under the curve)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10e</w:t>
            </w:r>
          </w:p>
        </w:tc>
        <w:tc>
          <w:tcPr/>
          <w:p>
            <w:pPr>
              <w:pStyle w:val="Compact"/>
            </w:pPr>
            <w:r>
              <w:t xml:space="preserve">Validation: any model updating</w:t>
            </w:r>
          </w:p>
        </w:tc>
        <w:tc>
          <w:tcPr/>
          <w:p>
            <w:pPr>
              <w:pStyle w:val="Compact"/>
            </w:pPr>
            <w:r>
              <w:t xml:space="preserve">Not applicable; the fitted mapping from each development fold is applied as-is to its withheld cohort, not updated or recalibrated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Risk groups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How risk groups were created</w:t>
            </w:r>
          </w:p>
        </w:tc>
        <w:tc>
          <w:tcPr/>
          <w:p>
            <w:pPr>
              <w:pStyle w:val="Compact"/>
            </w:pPr>
            <w:r>
              <w:t xml:space="preserve">Not applicable; outcome is a continuous accuracy proportion, not a risk category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Development vs. validation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Differences between development and validation data</w:t>
            </w:r>
          </w:p>
        </w:tc>
        <w:tc>
          <w:tcPr/>
          <w:p>
            <w:pPr>
              <w:pStyle w:val="Compact"/>
            </w:pPr>
            <w:r>
              <w:t xml:space="preserve">Methods, Study Design and Reporting (every cohort comes from one harmonised archive; the source study, not a separately assembled dataset, is the withheld unit); Discussion, Study Limitations (cohorts differ in speller matrix, stimulus paradigm, electrode type, and stopping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13a</w:t>
            </w:r>
          </w:p>
        </w:tc>
        <w:tc>
          <w:tcPr/>
          <w:p>
            <w:pPr>
              <w:pStyle w:val="Compact"/>
            </w:pPr>
            <w:r>
              <w:t xml:space="preserve">Flow of participants, with reasons for exclusion</w:t>
            </w:r>
          </w:p>
        </w:tc>
        <w:tc>
          <w:tcPr/>
          <w:p>
            <w:pPr>
              <w:pStyle w:val="Compact"/>
            </w:pPr>
            <w:r>
              <w:t xml:space="preserve">Results, Cohort; Table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13b</w:t>
            </w:r>
          </w:p>
        </w:tc>
        <w:tc>
          <w:tcPr/>
          <w:p>
            <w:pPr>
              <w:pStyle w:val="Compact"/>
            </w:pPr>
            <w:r>
              <w:t xml:space="preserve">Characteristics of participants</w:t>
            </w:r>
          </w:p>
        </w:tc>
        <w:tc>
          <w:tcPr/>
          <w:p>
            <w:pPr>
              <w:pStyle w:val="Compact"/>
            </w:pPr>
            <w:r>
              <w:t xml:space="preserve">Results, Cohort (participant, session and selection counts); Table 2 (per-cohort composition, embedded under Results, Transportability)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13c</w:t>
            </w:r>
          </w:p>
        </w:tc>
        <w:tc>
          <w:tcPr/>
          <w:p>
            <w:pPr>
              <w:pStyle w:val="Compact"/>
            </w:pPr>
            <w:r>
              <w:t xml:space="preserve">Comparison of development vs. validation participants</w:t>
            </w:r>
          </w:p>
        </w:tc>
        <w:tc>
          <w:tcPr/>
          <w:p>
            <w:pPr>
              <w:pStyle w:val="Compact"/>
            </w:pPr>
            <w:r>
              <w:t xml:space="preserve">Discussion, Study Limitations (cohort heterogeneity discussed; no separate person-level comparison table because cohorts, not held-out individuals, are the unit withheld)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development</w:t>
            </w:r>
          </w:p>
        </w:tc>
        <w:tc>
          <w:tcPr/>
          <w:p>
            <w:pPr>
              <w:pStyle w:val="Compact"/>
            </w:pPr>
            <w:r>
              <w:t xml:space="preserve">14a</w:t>
            </w:r>
          </w:p>
        </w:tc>
        <w:tc>
          <w:tcPr/>
          <w:p>
            <w:pPr>
              <w:pStyle w:val="Compact"/>
            </w:pPr>
            <w:r>
              <w:t xml:space="preserve">Number of participants and outcome events in each analysis</w:t>
            </w:r>
          </w:p>
        </w:tc>
        <w:tc>
          <w:tcPr/>
          <w:p>
            <w:pPr>
              <w:pStyle w:val="Compact"/>
            </w:pPr>
            <w:r>
              <w:t xml:space="preserve">Results, Cohort (271 participants, 410 sessions, 739 records, 19,611 analysed character selections; the outcome is a continuous per-record accuracy proportion rather than a discrete event count, see item 11)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14b</w:t>
            </w:r>
          </w:p>
        </w:tc>
        <w:tc>
          <w:tcPr/>
          <w:p>
            <w:pPr>
              <w:pStyle w:val="Compact"/>
            </w:pPr>
            <w:r>
              <w:t xml:space="preserve">Unadjusted association between each candidate predictor and outcome, if done</w:t>
            </w:r>
          </w:p>
        </w:tc>
        <w:tc>
          <w:tcPr/>
          <w:p>
            <w:pPr>
              <w:pStyle w:val="Compact"/>
            </w:pPr>
            <w:r>
              <w:t xml:space="preserve">Results, Association Between Calibration-Derived Decoder Discriminability and Online Accuracy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specification</w:t>
            </w:r>
          </w:p>
        </w:tc>
        <w:tc>
          <w:tcPr/>
          <w:p>
            <w:pPr>
              <w:pStyle w:val="Compact"/>
            </w:pPr>
            <w:r>
              <w:t xml:space="preserve">15a</w:t>
            </w:r>
          </w:p>
        </w:tc>
        <w:tc>
          <w:tcPr/>
          <w:p>
            <w:pPr>
              <w:pStyle w:val="Compact"/>
            </w:pPr>
            <w:r>
              <w:t xml:space="preserve">Full prediction model (all coefficients)</w:t>
            </w:r>
          </w:p>
        </w:tc>
        <w:tc>
          <w:tcPr/>
          <w:p>
            <w:pPr>
              <w:pStyle w:val="Compact"/>
            </w:pPr>
            <w:r>
              <w:t xml:space="preserve">Supplementary Table S12 (fitted coefficients of every development fold)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15b</w:t>
            </w:r>
          </w:p>
        </w:tc>
        <w:tc>
          <w:tcPr/>
          <w:p>
            <w:pPr>
              <w:pStyle w:val="Compact"/>
            </w:pPr>
            <w:r>
              <w:t xml:space="preserve">Explanation of how to use the model</w:t>
            </w:r>
          </w:p>
        </w:tc>
        <w:tc>
          <w:tcPr/>
          <w:p>
            <w:pPr>
              <w:pStyle w:val="Compact"/>
            </w:pPr>
            <w:r>
              <w:t xml:space="preserve">Methods, Model Specification (closed-form estimate, a + b(s-m)/d); Supplementary Table S12 (worked numeric example)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performance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Performance measures with confidence intervals</w:t>
            </w:r>
          </w:p>
        </w:tc>
        <w:tc>
          <w:tcPr/>
          <w:p>
            <w:pPr>
              <w:pStyle w:val="Compact"/>
            </w:pPr>
            <w:r>
              <w:t xml:space="preserve">Results, Estimation Error and Its Reference Points (pooled measures); Results, Transportability (per-cohort heterogeneity, including Brier skill; Table 2; Table S2; Figures 1-4)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updating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Details of model updating</w:t>
            </w:r>
          </w:p>
        </w:tc>
        <w:tc>
          <w:tcPr/>
          <w:p>
            <w:pPr>
              <w:pStyle w:val="Compact"/>
            </w:pPr>
            <w:r>
              <w:t xml:space="preserve">Not applicable; see item 10e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Study limitations, sources of bias</w:t>
            </w:r>
          </w:p>
        </w:tc>
        <w:tc>
          <w:tcPr/>
          <w:p>
            <w:pPr>
              <w:pStyle w:val="Compact"/>
            </w:pPr>
            <w:r>
              <w:t xml:space="preserve">Discussion, Study Limitations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19a</w:t>
            </w:r>
          </w:p>
        </w:tc>
        <w:tc>
          <w:tcPr/>
          <w:p>
            <w:pPr>
              <w:pStyle w:val="Compact"/>
            </w:pPr>
            <w:r>
              <w:t xml:space="preserve">Interpretation for validation studies, with reference to performance in the development data</w:t>
            </w:r>
          </w:p>
        </w:tc>
        <w:tc>
          <w:tcPr/>
          <w:p>
            <w:pPr>
              <w:pStyle w:val="Compact"/>
            </w:pPr>
            <w:r>
              <w:t xml:space="preserve">Discussion, paragraph 6 (fold-coefficient stability: development-fold intercept and slope coefficients vary by only 2.5% and 3.3% across folds, against 49.4% for the held-out cohort-specific validated slopes in Table S2)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19b</w:t>
            </w:r>
          </w:p>
        </w:tc>
        <w:tc>
          <w:tcPr/>
          <w:p>
            <w:pPr>
              <w:pStyle w:val="Compact"/>
            </w:pPr>
            <w:r>
              <w:t xml:space="preserve">Overall interpretation, implications for practice</w:t>
            </w:r>
          </w:p>
        </w:tc>
        <w:tc>
          <w:tcPr/>
          <w:p>
            <w:pPr>
              <w:pStyle w:val="Compact"/>
            </w:pPr>
            <w:r>
              <w:t xml:space="preserve">Discussion, Conclusion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Implications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Potential clinical use, implications for future research</w:t>
            </w:r>
          </w:p>
        </w:tc>
        <w:tc>
          <w:tcPr/>
          <w:p>
            <w:pPr>
              <w:pStyle w:val="Compact"/>
            </w:pPr>
            <w:r>
              <w:t xml:space="preserve">Discussion, Conclusion; Abstract, Significance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information</w:t>
            </w:r>
          </w:p>
        </w:tc>
        <w:tc>
          <w:tcPr/>
          <w:p>
            <w:pPr>
              <w:pStyle w:val="Compact"/>
            </w:pPr>
            <w:r>
              <w:t xml:space="preserve">Supplementary information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Availability of supplementary resources</w:t>
            </w:r>
          </w:p>
        </w:tc>
        <w:tc>
          <w:tcPr/>
          <w:p>
            <w:pPr>
              <w:pStyle w:val="Compact"/>
            </w:pPr>
            <w:r>
              <w:t xml:space="preserve">Data and Code Availability (data and code); the Supplementary Information document (</w:t>
            </w:r>
            <w:r>
              <w:rPr>
                <w:rStyle w:val="VerbatimChar"/>
              </w:rPr>
              <w:t xml:space="preserve">supplementary/supplement_expanded.md</w:t>
            </w:r>
            <w:r>
              <w:t xml:space="preserve">) and this checklist (</w:t>
            </w:r>
            <w:r>
              <w:rPr>
                <w:rStyle w:val="VerbatimChar"/>
              </w:rPr>
              <w:t xml:space="preserve">supplementary/tripod_checklist.md</w:t>
            </w:r>
            <w:r>
              <w:t xml:space="preserve">) are submitted as separate companion files alongside the manuscript, not referenced by filename in the main text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Source of funding</w:t>
            </w:r>
          </w:p>
        </w:tc>
        <w:tc>
          <w:tcPr/>
          <w:p>
            <w:pPr>
              <w:pStyle w:val="Compact"/>
            </w:pPr>
            <w:r>
              <w:t xml:space="preserve">Acknowledgements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2026-07-28T21:45:25Z</dcterms:created>
  <dcterms:modified xsi:type="dcterms:W3CDTF">2026-07-28T21:45:25Z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