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p>
      <w:pPr>
        <w:pStyle w:val="BodyText"/>
      </w:pPr>
      <w:r>
        <w:rPr>
          <w:b/>
          <w:bCs/>
        </w:rPr>
        <w:t xml:space="preserve">Table S11. Per-cohort composition, documented protocol metadata, and withheld-cohort performance.</w:t>
      </w:r>
      <w:r>
        <w:t xml:space="preserve"> </w:t>
      </w:r>
      <w:r>
        <w:t xml:space="preserve">For each of the 18 contributing cohorts: participants, records, analysed selections, the archive’s own documented speller grid size and whether it uses a checkerboard-variant stimulus paradigm, mean observed session-condition accuracy, and, when that cohort was withheld from model development, the mean absolute error, character-weighted area under the curve, and calibration intercept and slope, with the slope’s 95% confidence interval given as separate lower and upper columns rather than combined into one cell. Calibration intercepts and slopes are from the primary cluster-robust specification, with standard errors clustered on participant. ALS cohorts are listed first. This is the full version of the main-text Table 2, which reports composition and observed performance only; the calibration intercept and slope for each cohort, with their confidence intervals, are also shown in Figure 1.</w:t>
      </w:r>
    </w:p>
    <w:tbl>
      <w:tblPr>
        <w:tblStyle w:val="Table"/>
        <w:tblW w:type="pct" w:w="5000"/>
        <w:tblLayout w:type="fixed"/>
        <w:tblLook w:firstRow="1" w:lastRow="0" w:firstColumn="0" w:lastColumn="0" w:noHBand="0" w:noVBand="0" w:val="0020"/>
      </w:tblPr>
      <w:tblGrid>
        <w:gridCol w:w="714"/>
        <w:gridCol w:w="908"/>
        <w:gridCol w:w="584"/>
        <w:gridCol w:w="779"/>
        <w:gridCol w:w="389"/>
        <w:gridCol w:w="843"/>
        <w:gridCol w:w="649"/>
        <w:gridCol w:w="389"/>
        <w:gridCol w:w="389"/>
        <w:gridCol w:w="649"/>
        <w:gridCol w:w="519"/>
        <w:gridCol w:w="519"/>
        <w:gridCol w:w="584"/>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Grid size</w:t>
            </w:r>
          </w:p>
        </w:tc>
        <w:tc>
          <w:tcPr/>
          <w:p>
            <w:pPr>
              <w:pStyle w:val="Compact"/>
            </w:pPr>
            <w:r>
              <w:t xml:space="preserve">Checkerboard</w:t>
            </w:r>
          </w:p>
        </w:tc>
        <w:tc>
          <w:tcPr/>
          <w:p>
            <w:pPr>
              <w:pStyle w:val="Compact"/>
              <w:jc w:val="right"/>
            </w:pPr>
            <w:r>
              <w:t xml:space="preserve">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jc w:val="right"/>
            </w:pPr>
            <w:r>
              <w:t xml:space="preserve">Calib. slope</w:t>
            </w:r>
          </w:p>
        </w:tc>
        <w:tc>
          <w:tcPr/>
          <w:p>
            <w:pPr>
              <w:pStyle w:val="Compact"/>
              <w:jc w:val="right"/>
            </w:pPr>
            <w:r>
              <w:t xml:space="preserve">Slope CI low</w:t>
            </w:r>
          </w:p>
        </w:tc>
        <w:tc>
          <w:tcPr/>
          <w:p>
            <w:pPr>
              <w:pStyle w:val="Compact"/>
              <w:jc w:val="right"/>
            </w:pPr>
            <w:r>
              <w:t xml:space="preserve">Slope CI high</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36</w:t>
            </w:r>
          </w:p>
        </w:tc>
        <w:tc>
          <w:tcPr/>
          <w:p>
            <w:pPr>
              <w:pStyle w:val="Compact"/>
            </w:pPr>
            <w:r>
              <w:t xml:space="preserve">Yes</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jc w:val="right"/>
            </w:pPr>
            <w:r>
              <w:t xml:space="preserve">1.578</w:t>
            </w:r>
          </w:p>
        </w:tc>
        <w:tc>
          <w:tcPr/>
          <w:p>
            <w:pPr>
              <w:pStyle w:val="Compact"/>
              <w:jc w:val="right"/>
            </w:pPr>
            <w:r>
              <w:t xml:space="preserve">0.691</w:t>
            </w:r>
          </w:p>
        </w:tc>
        <w:tc>
          <w:tcPr/>
          <w:p>
            <w:pPr>
              <w:pStyle w:val="Compact"/>
              <w:jc w:val="right"/>
            </w:pPr>
            <w:r>
              <w:t xml:space="preserve">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72</w:t>
            </w:r>
          </w:p>
        </w:tc>
        <w:tc>
          <w:tcPr/>
          <w:p>
            <w:pPr>
              <w:pStyle w:val="Compact"/>
            </w:pPr>
            <w:r>
              <w:t xml:space="preserve">Yes</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jc w:val="right"/>
            </w:pPr>
            <w:r>
              <w:t xml:space="preserve">1.418</w:t>
            </w:r>
          </w:p>
        </w:tc>
        <w:tc>
          <w:tcPr/>
          <w:p>
            <w:pPr>
              <w:pStyle w:val="Compact"/>
              <w:jc w:val="right"/>
            </w:pPr>
            <w:r>
              <w:t xml:space="preserve">1.205</w:t>
            </w:r>
          </w:p>
        </w:tc>
        <w:tc>
          <w:tcPr/>
          <w:p>
            <w:pPr>
              <w:pStyle w:val="Compact"/>
              <w:jc w:val="right"/>
            </w:pPr>
            <w:r>
              <w:t xml:space="preserve">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36</w:t>
            </w:r>
          </w:p>
        </w:tc>
        <w:tc>
          <w:tcPr/>
          <w:p>
            <w:pPr>
              <w:pStyle w:val="Compact"/>
            </w:pPr>
            <w:r>
              <w:t xml:space="preserve">Yes</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jc w:val="right"/>
            </w:pPr>
            <w:r>
              <w:t xml:space="preserve">1.775</w:t>
            </w:r>
          </w:p>
        </w:tc>
        <w:tc>
          <w:tcPr/>
          <w:p>
            <w:pPr>
              <w:pStyle w:val="Compact"/>
              <w:jc w:val="right"/>
            </w:pPr>
            <w:r>
              <w:t xml:space="preserve">1.413</w:t>
            </w:r>
          </w:p>
        </w:tc>
        <w:tc>
          <w:tcPr/>
          <w:p>
            <w:pPr>
              <w:pStyle w:val="Compact"/>
              <w:jc w:val="right"/>
            </w:pPr>
            <w:r>
              <w:t xml:space="preserve">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36</w:t>
            </w:r>
          </w:p>
        </w:tc>
        <w:tc>
          <w:tcPr/>
          <w:p>
            <w:pPr>
              <w:pStyle w:val="Compact"/>
            </w:pPr>
            <w:r>
              <w:t xml:space="preserve">Yes</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jc w:val="right"/>
            </w:pPr>
            <w:r>
              <w:t xml:space="preserve">1.145</w:t>
            </w:r>
          </w:p>
        </w:tc>
        <w:tc>
          <w:tcPr/>
          <w:p>
            <w:pPr>
              <w:pStyle w:val="Compact"/>
              <w:jc w:val="right"/>
            </w:pPr>
            <w:r>
              <w:t xml:space="preserve">0.681</w:t>
            </w:r>
          </w:p>
        </w:tc>
        <w:tc>
          <w:tcPr/>
          <w:p>
            <w:pPr>
              <w:pStyle w:val="Compact"/>
              <w:jc w:val="right"/>
            </w:pPr>
            <w:r>
              <w:t xml:space="preserve">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72</w:t>
            </w:r>
          </w:p>
        </w:tc>
        <w:tc>
          <w:tcPr/>
          <w:p>
            <w:pPr>
              <w:pStyle w:val="Compact"/>
            </w:pPr>
            <w:r>
              <w:t xml:space="preserve">Yes</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jc w:val="right"/>
            </w:pPr>
            <w:r>
              <w:t xml:space="preserve">1.999</w:t>
            </w:r>
          </w:p>
        </w:tc>
        <w:tc>
          <w:tcPr/>
          <w:p>
            <w:pPr>
              <w:pStyle w:val="Compact"/>
              <w:jc w:val="right"/>
            </w:pPr>
            <w:r>
              <w:t xml:space="preserve">1.375</w:t>
            </w:r>
          </w:p>
        </w:tc>
        <w:tc>
          <w:tcPr/>
          <w:p>
            <w:pPr>
              <w:pStyle w:val="Compact"/>
              <w:jc w:val="right"/>
            </w:pPr>
            <w:r>
              <w:t xml:space="preserve">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72</w:t>
            </w:r>
          </w:p>
        </w:tc>
        <w:tc>
          <w:tcPr/>
          <w:p>
            <w:pPr>
              <w:pStyle w:val="Compact"/>
            </w:pPr>
            <w:r>
              <w:t xml:space="preserve">No</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jc w:val="right"/>
            </w:pPr>
            <w:r>
              <w:t xml:space="preserve">0.839</w:t>
            </w:r>
          </w:p>
        </w:tc>
        <w:tc>
          <w:tcPr/>
          <w:p>
            <w:pPr>
              <w:pStyle w:val="Compact"/>
              <w:jc w:val="right"/>
            </w:pPr>
            <w:r>
              <w:t xml:space="preserve">0.461</w:t>
            </w:r>
          </w:p>
        </w:tc>
        <w:tc>
          <w:tcPr/>
          <w:p>
            <w:pPr>
              <w:pStyle w:val="Compact"/>
              <w:jc w:val="right"/>
            </w:pPr>
            <w:r>
              <w:t xml:space="preserve">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72</w:t>
            </w:r>
          </w:p>
        </w:tc>
        <w:tc>
          <w:tcPr/>
          <w:p>
            <w:pPr>
              <w:pStyle w:val="Compact"/>
            </w:pPr>
            <w:r>
              <w:t xml:space="preserve">Yes</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jc w:val="right"/>
            </w:pPr>
            <w:r>
              <w:t xml:space="preserve">0.782</w:t>
            </w:r>
          </w:p>
        </w:tc>
        <w:tc>
          <w:tcPr/>
          <w:p>
            <w:pPr>
              <w:pStyle w:val="Compact"/>
              <w:jc w:val="right"/>
            </w:pPr>
            <w:r>
              <w:t xml:space="preserve">0.214</w:t>
            </w:r>
          </w:p>
        </w:tc>
        <w:tc>
          <w:tcPr/>
          <w:p>
            <w:pPr>
              <w:pStyle w:val="Compact"/>
              <w:jc w:val="right"/>
            </w:pPr>
            <w:r>
              <w:t xml:space="preserve">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72</w:t>
            </w:r>
          </w:p>
        </w:tc>
        <w:tc>
          <w:tcPr/>
          <w:p>
            <w:pPr>
              <w:pStyle w:val="Compact"/>
            </w:pPr>
            <w:r>
              <w:t xml:space="preserve">Yes</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jc w:val="right"/>
            </w:pPr>
            <w:r>
              <w:t xml:space="preserve">1.399</w:t>
            </w:r>
          </w:p>
        </w:tc>
        <w:tc>
          <w:tcPr/>
          <w:p>
            <w:pPr>
              <w:pStyle w:val="Compact"/>
              <w:jc w:val="right"/>
            </w:pPr>
            <w:r>
              <w:t xml:space="preserve">0.957</w:t>
            </w:r>
          </w:p>
        </w:tc>
        <w:tc>
          <w:tcPr/>
          <w:p>
            <w:pPr>
              <w:pStyle w:val="Compact"/>
              <w:jc w:val="right"/>
            </w:pPr>
            <w:r>
              <w:t xml:space="preserve">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72</w:t>
            </w:r>
          </w:p>
        </w:tc>
        <w:tc>
          <w:tcPr/>
          <w:p>
            <w:pPr>
              <w:pStyle w:val="Compact"/>
            </w:pPr>
            <w:r>
              <w:t xml:space="preserve">Yes</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jc w:val="right"/>
            </w:pPr>
            <w:r>
              <w:t xml:space="preserve">0.185</w:t>
            </w:r>
          </w:p>
        </w:tc>
        <w:tc>
          <w:tcPr/>
          <w:p>
            <w:pPr>
              <w:pStyle w:val="Compact"/>
              <w:jc w:val="right"/>
            </w:pPr>
            <w:r>
              <w:t xml:space="preserve">-0.289</w:t>
            </w:r>
          </w:p>
        </w:tc>
        <w:tc>
          <w:tcPr/>
          <w:p>
            <w:pPr>
              <w:pStyle w:val="Compact"/>
              <w:jc w:val="right"/>
            </w:pPr>
            <w:r>
              <w:t xml:space="preserve">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72</w:t>
            </w:r>
          </w:p>
        </w:tc>
        <w:tc>
          <w:tcPr/>
          <w:p>
            <w:pPr>
              <w:pStyle w:val="Compact"/>
            </w:pPr>
            <w:r>
              <w:t xml:space="preserve">Yes</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jc w:val="right"/>
            </w:pPr>
            <w:r>
              <w:t xml:space="preserve">1.044</w:t>
            </w:r>
          </w:p>
        </w:tc>
        <w:tc>
          <w:tcPr/>
          <w:p>
            <w:pPr>
              <w:pStyle w:val="Compact"/>
              <w:jc w:val="right"/>
            </w:pPr>
            <w:r>
              <w:t xml:space="preserve">0.170</w:t>
            </w:r>
          </w:p>
        </w:tc>
        <w:tc>
          <w:tcPr/>
          <w:p>
            <w:pPr>
              <w:pStyle w:val="Compact"/>
              <w:jc w:val="right"/>
            </w:pPr>
            <w:r>
              <w:t xml:space="preserve">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36</w:t>
            </w:r>
          </w:p>
        </w:tc>
        <w:tc>
          <w:tcPr/>
          <w:p>
            <w:pPr>
              <w:pStyle w:val="Compact"/>
            </w:pPr>
            <w:r>
              <w:t xml:space="preserve">No</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jc w:val="right"/>
            </w:pPr>
            <w:r>
              <w:t xml:space="preserve">0.326</w:t>
            </w:r>
          </w:p>
        </w:tc>
        <w:tc>
          <w:tcPr/>
          <w:p>
            <w:pPr>
              <w:pStyle w:val="Compact"/>
              <w:jc w:val="right"/>
            </w:pPr>
            <w:r>
              <w:t xml:space="preserve">-0.063</w:t>
            </w:r>
          </w:p>
        </w:tc>
        <w:tc>
          <w:tcPr/>
          <w:p>
            <w:pPr>
              <w:pStyle w:val="Compact"/>
              <w:jc w:val="right"/>
            </w:pPr>
            <w:r>
              <w:t xml:space="preserve">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72</w:t>
            </w:r>
          </w:p>
        </w:tc>
        <w:tc>
          <w:tcPr/>
          <w:p>
            <w:pPr>
              <w:pStyle w:val="Compact"/>
            </w:pPr>
            <w:r>
              <w:t xml:space="preserve">Yes</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jc w:val="right"/>
            </w:pPr>
            <w:r>
              <w:t xml:space="preserve">0.480</w:t>
            </w:r>
          </w:p>
        </w:tc>
        <w:tc>
          <w:tcPr/>
          <w:p>
            <w:pPr>
              <w:pStyle w:val="Compact"/>
              <w:jc w:val="right"/>
            </w:pPr>
            <w:r>
              <w:t xml:space="preserve">-0.193</w:t>
            </w:r>
          </w:p>
        </w:tc>
        <w:tc>
          <w:tcPr/>
          <w:p>
            <w:pPr>
              <w:pStyle w:val="Compact"/>
              <w:jc w:val="right"/>
            </w:pPr>
            <w:r>
              <w:t xml:space="preserve">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72</w:t>
            </w:r>
          </w:p>
        </w:tc>
        <w:tc>
          <w:tcPr/>
          <w:p>
            <w:pPr>
              <w:pStyle w:val="Compact"/>
            </w:pPr>
            <w:r>
              <w:t xml:space="preserve">Yes</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jc w:val="right"/>
            </w:pPr>
            <w:r>
              <w:t xml:space="preserve">0.888</w:t>
            </w:r>
          </w:p>
        </w:tc>
        <w:tc>
          <w:tcPr/>
          <w:p>
            <w:pPr>
              <w:pStyle w:val="Compact"/>
              <w:jc w:val="right"/>
            </w:pPr>
            <w:r>
              <w:t xml:space="preserve">0.480</w:t>
            </w:r>
          </w:p>
        </w:tc>
        <w:tc>
          <w:tcPr/>
          <w:p>
            <w:pPr>
              <w:pStyle w:val="Compact"/>
              <w:jc w:val="right"/>
            </w:pPr>
            <w:r>
              <w:t xml:space="preserve">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72</w:t>
            </w:r>
          </w:p>
        </w:tc>
        <w:tc>
          <w:tcPr/>
          <w:p>
            <w:pPr>
              <w:pStyle w:val="Compact"/>
            </w:pPr>
            <w:r>
              <w:t xml:space="preserve">Yes</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jc w:val="right"/>
            </w:pPr>
            <w:r>
              <w:t xml:space="preserve">0.583</w:t>
            </w:r>
          </w:p>
        </w:tc>
        <w:tc>
          <w:tcPr/>
          <w:p>
            <w:pPr>
              <w:pStyle w:val="Compact"/>
              <w:jc w:val="right"/>
            </w:pPr>
            <w:r>
              <w:t xml:space="preserve">0.079</w:t>
            </w:r>
          </w:p>
        </w:tc>
        <w:tc>
          <w:tcPr/>
          <w:p>
            <w:pPr>
              <w:pStyle w:val="Compact"/>
              <w:jc w:val="right"/>
            </w:pPr>
            <w:r>
              <w:t xml:space="preserve">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72</w:t>
            </w:r>
          </w:p>
        </w:tc>
        <w:tc>
          <w:tcPr/>
          <w:p>
            <w:pPr>
              <w:pStyle w:val="Compact"/>
            </w:pPr>
            <w:r>
              <w:t xml:space="preserve">Yes</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jc w:val="right"/>
            </w:pPr>
            <w:r>
              <w:t xml:space="preserve">1.108</w:t>
            </w:r>
          </w:p>
        </w:tc>
        <w:tc>
          <w:tcPr/>
          <w:p>
            <w:pPr>
              <w:pStyle w:val="Compact"/>
              <w:jc w:val="right"/>
            </w:pPr>
            <w:r>
              <w:t xml:space="preserve">0.844</w:t>
            </w:r>
          </w:p>
        </w:tc>
        <w:tc>
          <w:tcPr/>
          <w:p>
            <w:pPr>
              <w:pStyle w:val="Compact"/>
              <w:jc w:val="right"/>
            </w:pPr>
            <w:r>
              <w:t xml:space="preserve">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72</w:t>
            </w:r>
          </w:p>
        </w:tc>
        <w:tc>
          <w:tcPr/>
          <w:p>
            <w:pPr>
              <w:pStyle w:val="Compact"/>
            </w:pPr>
            <w:r>
              <w:t xml:space="preserve">Yes</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jc w:val="right"/>
            </w:pPr>
            <w:r>
              <w:t xml:space="preserve">0.763</w:t>
            </w:r>
          </w:p>
        </w:tc>
        <w:tc>
          <w:tcPr/>
          <w:p>
            <w:pPr>
              <w:pStyle w:val="Compact"/>
              <w:jc w:val="right"/>
            </w:pPr>
            <w:r>
              <w:t xml:space="preserve">0.359</w:t>
            </w:r>
          </w:p>
        </w:tc>
        <w:tc>
          <w:tcPr/>
          <w:p>
            <w:pPr>
              <w:pStyle w:val="Compact"/>
              <w:jc w:val="right"/>
            </w:pPr>
            <w:r>
              <w:t xml:space="preserve">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72</w:t>
            </w:r>
          </w:p>
        </w:tc>
        <w:tc>
          <w:tcPr/>
          <w:p>
            <w:pPr>
              <w:pStyle w:val="Compact"/>
            </w:pPr>
            <w:r>
              <w:t xml:space="preserve">Yes</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jc w:val="right"/>
            </w:pPr>
            <w:r>
              <w:t xml:space="preserve">1.312</w:t>
            </w:r>
          </w:p>
        </w:tc>
        <w:tc>
          <w:tcPr/>
          <w:p>
            <w:pPr>
              <w:pStyle w:val="Compact"/>
              <w:jc w:val="right"/>
            </w:pPr>
            <w:r>
              <w:t xml:space="preserve">-0.216</w:t>
            </w:r>
          </w:p>
        </w:tc>
        <w:tc>
          <w:tcPr/>
          <w:p>
            <w:pPr>
              <w:pStyle w:val="Compact"/>
              <w:jc w:val="right"/>
            </w:pPr>
            <w:r>
              <w:t xml:space="preserve">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72</w:t>
            </w:r>
          </w:p>
        </w:tc>
        <w:tc>
          <w:tcPr/>
          <w:p>
            <w:pPr>
              <w:pStyle w:val="Compact"/>
            </w:pPr>
            <w:r>
              <w:t xml:space="preserve">Yes</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jc w:val="right"/>
            </w:pPr>
            <w:r>
              <w:t xml:space="preserve">2.185</w:t>
            </w:r>
          </w:p>
        </w:tc>
        <w:tc>
          <w:tcPr/>
          <w:p>
            <w:pPr>
              <w:pStyle w:val="Compact"/>
              <w:jc w:val="right"/>
            </w:pPr>
            <w:r>
              <w:t xml:space="preserve">1.215</w:t>
            </w:r>
          </w:p>
        </w:tc>
        <w:tc>
          <w:tcPr/>
          <w:p>
            <w:pPr>
              <w:pStyle w:val="Compact"/>
              <w:jc w:val="right"/>
            </w:pPr>
            <w:r>
              <w:t xml:space="preserve">3.154</w:t>
            </w: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 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 The reported mean for that row is the geometric mean; the arithmetic mean of the 18 cohort-level errors was 0.101.</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 (geometric mean)</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S2b.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reviewer suggested, as a preferable rather than required alternative, refitting every bootstrap replicate with a penalized calibration model such as Firth logistic regression, so that Study S1’s replicates would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consciously not pursued in this revision and is recorded here as a deferred alternative rather than implemented.</w:t>
      </w:r>
    </w:p>
    <w:p>
      <w:pPr>
        <w:pStyle w:val="BodyText"/>
      </w:pPr>
      <w:r>
        <w:t xml:space="preserve">A further check addresses a different limitation of the bootstrap above: it resamples each held-out cohort’s participants independently within its own fold, so it cannot see that any two leave-one-study-out folds share up to 16 of their 17 development cohorts.</w:t>
      </w:r>
      <w:r>
        <w:t xml:space="preserve"> </w:t>
      </w:r>
      <w:r>
        <w:rPr>
          <w:rStyle w:val="VerbatimChar"/>
        </w:rPr>
        <w:t xml:space="preserve">joint_bootstrap_fold_covariance</w:t>
      </w:r>
      <w:r>
        <w:t xml:space="preserve"> </w:t>
      </w:r>
      <w:r>
        <w:t xml:space="preserve">(</w:t>
      </w:r>
      <w:r>
        <w:rPr>
          <w:rStyle w:val="VerbatimChar"/>
        </w:rPr>
        <w:t xml:space="preserve">src/bigp3_als/validation.py</w:t>
      </w:r>
      <w:r>
        <w:t xml:space="preserve">) instead draws one joint resample of every cohort’s participants per replicate, using the same</w:t>
      </w:r>
      <w:r>
        <w:t xml:space="preserve"> </w:t>
      </w:r>
      <w:r>
        <w:rPr>
          <w:rStyle w:val="VerbatimChar"/>
        </w:rPr>
        <w:t xml:space="preserve">RANDOM_SEED</w:t>
      </w:r>
      <w:r>
        <w:t xml:space="preserve"> </w:t>
      </w:r>
      <w:r>
        <w:t xml:space="preserve">and</w:t>
      </w:r>
      <w:r>
        <w:t xml:space="preserve"> </w:t>
      </w:r>
      <w:r>
        <w:rPr>
          <w:rStyle w:val="VerbatimChar"/>
        </w:rPr>
        <w:t xml:space="preserve">BOOTSTRAP_REPETITIONS</w:t>
      </w:r>
      <w:r>
        <w:t xml:space="preserve"> </w:t>
      </w:r>
      <w:r>
        <w:t xml:space="preserve">(2,000) as the rest of this pipeline, and refits all 18 leave-one-study-out folds from that single resampled dataset, so a cohort that sits in several folds’ development sets contributes the identical resampled draw to every one of them rather than an independent draw per fold. Every cohort but Study S1 produced a finite, guarded calibration fit in at least 1,997 of the 2,000 replicates. Study S1 produced one in only 826 of 2,000, below the 1,000-replicate threshold this method uses to call a cohort identified, consistent with its position near the separation boundary already documented above (Table S2b) and in the main text (Study Limitations). Unlike the bootstrap in Table S2b, which drops a non-identified cohort from pooling entirely, this joint bootstrap’s headline figures in the Discussion (0.79 for the slope, 1.62 for the intercept) include Study S1’s 826 surviving replicates alongside the other 17 cohorts’ in every replicate where Study S1’s fold happened to converge. The two bootstraps therefore treat a non-identified cohort differently by design, not because the pooling rule changed between them: the per-cohort bootstrap reports a single pooled tau for which an unidentified cohort has no defensible sampling distribution to contribute, while the joint bootstrap’s replicate-level spread is defined over whichever folds converge in that replicate and does not require every cohort to converge in every replicate.</w:t>
      </w:r>
    </w:p>
    <w:p>
      <w:pPr>
        <w:pStyle w:val="BodyText"/>
      </w:pPr>
      <w:r>
        <w:t xml:space="preserve">The empirical covariance this joint bootstrap produces (</w:t>
      </w:r>
      <w:r>
        <w:rPr>
          <w:rStyle w:val="VerbatimChar"/>
        </w:rPr>
        <w:t xml:space="preserve">output/expanded/joint_bootstrap_covariance.csv</w:t>
      </w:r>
      <w:r>
        <w:t xml:space="preserve">,</w:t>
      </w:r>
      <w:r>
        <w:t xml:space="preserve"> </w:t>
      </w:r>
      <w:r>
        <w:rPr>
          <w:rStyle w:val="VerbatimChar"/>
        </w:rPr>
        <w:t xml:space="preserve">joint_bootstrap_correlation.csv</w:t>
      </w:r>
      <w:r>
        <w:t xml:space="preserve">) is not spread evenly across the 153 possible cohort pairs. Table S10 lists the eight strongest off-diagonal correlations between cohorts’ held-out calibration intercepts. Four cohorts, Study F, Study J, Study L and Study Q, appear in all eight pairs, six of which pair two of them against each other, so a small subset of cohorts recurs disproportionately rather than every pair contributing comparably. Cohort size is a partial explanation: Study F and Study L are two of the smallest cohorts in the archive by participant count, at 10 and 11 of 271 (Table 2), consistent with a small cohort’s resampled composition varying more from replicate to replicate and that variation propagating into every fold whose development set includes it. Study J and Study Q have 20 participants each, however, so cohort size alone does not account for the full pattern, and no single mechanism is asserted beyond the shared-development correlation this bootstrap was built to capture.</w:t>
      </w:r>
    </w:p>
    <w:p>
      <w:pPr>
        <w:pStyle w:val="BodyText"/>
      </w:pPr>
      <w:r>
        <w:rPr>
          <w:b/>
          <w:bCs/>
        </w:rPr>
        <w:t xml:space="preserve">Table S10. Strongest off-diagonal correlations between cohorts’ held-out calibration intercepts under the joint bootstrap.</w:t>
      </w:r>
      <w:r>
        <w:t xml:space="preserve"> </w:t>
      </w:r>
      <w:r>
        <w:t xml:space="preserve">Correlations are Pearson correlations of the 2,000 per-replicate intercept estimates for the two named cohorts’ leave-one-study-out folds. The full 36-by-36 term-by-term matrix, including the corresponding slope correlations, is</w:t>
      </w:r>
      <w:r>
        <w:t xml:space="preserve"> </w:t>
      </w:r>
      <w:r>
        <w:rPr>
          <w:rStyle w:val="VerbatimChar"/>
        </w:rPr>
        <w:t xml:space="preserve">output/expanded/joint_bootstrap_correlation.csv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Cohort pair</w:t>
            </w:r>
          </w:p>
        </w:tc>
        <w:tc>
          <w:tcPr/>
          <w:p>
            <w:pPr>
              <w:pStyle w:val="Compact"/>
              <w:jc w:val="right"/>
            </w:pPr>
            <w:r>
              <w:t xml:space="preserve">Correlation</w:t>
            </w:r>
          </w:p>
        </w:tc>
      </w:tr>
      <w:tr>
        <w:tc>
          <w:tcPr/>
          <w:p>
            <w:pPr>
              <w:pStyle w:val="Compact"/>
            </w:pPr>
            <w:r>
              <w:t xml:space="preserve">Study L and Study Q</w:t>
            </w:r>
          </w:p>
        </w:tc>
        <w:tc>
          <w:tcPr/>
          <w:p>
            <w:pPr>
              <w:pStyle w:val="Compact"/>
              <w:jc w:val="right"/>
            </w:pPr>
            <w:r>
              <w:t xml:space="preserve">0.361</w:t>
            </w:r>
          </w:p>
        </w:tc>
      </w:tr>
      <w:tr>
        <w:tc>
          <w:tcPr/>
          <w:p>
            <w:pPr>
              <w:pStyle w:val="Compact"/>
            </w:pPr>
            <w:r>
              <w:t xml:space="preserve">Study F and Study J</w:t>
            </w:r>
          </w:p>
        </w:tc>
        <w:tc>
          <w:tcPr/>
          <w:p>
            <w:pPr>
              <w:pStyle w:val="Compact"/>
              <w:jc w:val="right"/>
            </w:pPr>
            <w:r>
              <w:t xml:space="preserve">-0.311</w:t>
            </w:r>
          </w:p>
        </w:tc>
      </w:tr>
      <w:tr>
        <w:tc>
          <w:tcPr/>
          <w:p>
            <w:pPr>
              <w:pStyle w:val="Compact"/>
            </w:pPr>
            <w:r>
              <w:t xml:space="preserve">Study J and Study Q</w:t>
            </w:r>
          </w:p>
        </w:tc>
        <w:tc>
          <w:tcPr/>
          <w:p>
            <w:pPr>
              <w:pStyle w:val="Compact"/>
              <w:jc w:val="right"/>
            </w:pPr>
            <w:r>
              <w:t xml:space="preserve">-0.298</w:t>
            </w:r>
          </w:p>
        </w:tc>
      </w:tr>
      <w:tr>
        <w:tc>
          <w:tcPr/>
          <w:p>
            <w:pPr>
              <w:pStyle w:val="Compact"/>
            </w:pPr>
            <w:r>
              <w:t xml:space="preserve">Study F and Study L</w:t>
            </w:r>
          </w:p>
        </w:tc>
        <w:tc>
          <w:tcPr/>
          <w:p>
            <w:pPr>
              <w:pStyle w:val="Compact"/>
              <w:jc w:val="right"/>
            </w:pPr>
            <w:r>
              <w:t xml:space="preserve">0.276</w:t>
            </w:r>
          </w:p>
        </w:tc>
      </w:tr>
      <w:tr>
        <w:tc>
          <w:tcPr/>
          <w:p>
            <w:pPr>
              <w:pStyle w:val="Compact"/>
            </w:pPr>
            <w:r>
              <w:t xml:space="preserve">Study F and Study Q</w:t>
            </w:r>
          </w:p>
        </w:tc>
        <w:tc>
          <w:tcPr/>
          <w:p>
            <w:pPr>
              <w:pStyle w:val="Compact"/>
              <w:jc w:val="right"/>
            </w:pPr>
            <w:r>
              <w:t xml:space="preserve">0.267</w:t>
            </w:r>
          </w:p>
        </w:tc>
      </w:tr>
      <w:tr>
        <w:tc>
          <w:tcPr/>
          <w:p>
            <w:pPr>
              <w:pStyle w:val="Compact"/>
            </w:pPr>
            <w:r>
              <w:t xml:space="preserve">Study J and Study L</w:t>
            </w:r>
          </w:p>
        </w:tc>
        <w:tc>
          <w:tcPr/>
          <w:p>
            <w:pPr>
              <w:pStyle w:val="Compact"/>
              <w:jc w:val="right"/>
            </w:pPr>
            <w:r>
              <w:t xml:space="preserve">-0.263</w:t>
            </w:r>
          </w:p>
        </w:tc>
      </w:tr>
      <w:tr>
        <w:tc>
          <w:tcPr/>
          <w:p>
            <w:pPr>
              <w:pStyle w:val="Compact"/>
            </w:pPr>
            <w:r>
              <w:t xml:space="preserve">Study J and Study M</w:t>
            </w:r>
          </w:p>
        </w:tc>
        <w:tc>
          <w:tcPr/>
          <w:p>
            <w:pPr>
              <w:pStyle w:val="Compact"/>
              <w:jc w:val="right"/>
            </w:pPr>
            <w:r>
              <w:t xml:space="preserve">-0.262</w:t>
            </w:r>
          </w:p>
        </w:tc>
      </w:tr>
      <w:tr>
        <w:tc>
          <w:tcPr/>
          <w:p>
            <w:pPr>
              <w:pStyle w:val="Compact"/>
            </w:pPr>
            <w:r>
              <w:t xml:space="preserve">Study A and Study L</w:t>
            </w:r>
          </w:p>
        </w:tc>
        <w:tc>
          <w:tcPr/>
          <w:p>
            <w:pPr>
              <w:pStyle w:val="Compact"/>
              <w:jc w:val="right"/>
            </w:pPr>
            <w:r>
              <w:t xml:space="preserve">0.248</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(geometric mean)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geometric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Geometric mean across cohorts</w:t>
            </w:r>
          </w:p>
        </w:tc>
        <w:tc>
          <w:tcPr/>
          <w:p>
            <w:pPr>
              <w:pStyle w:val="Compact"/>
              <w:jc w:val="right"/>
            </w:pPr>
            <w:r>
              <w:t xml:space="preserve">Between-cohort SD of log(MAE)</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I²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I²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I²</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I²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the joint bootstrap of all 18 development folds,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w:t>
      </w:r>
      <w:r>
        <w:t xml:space="preserve"> </w:t>
      </w:r>
      <w:r>
        <w:rPr>
          <w:rStyle w:val="VerbatimChar"/>
        </w:rPr>
        <w:t xml:space="preserve">protocol_meta_regression.json</w:t>
      </w:r>
      <w:r>
        <w:t xml:space="preserve">,</w:t>
      </w:r>
      <w:r>
        <w:t xml:space="preserve"> </w:t>
      </w:r>
      <w:r>
        <w:rPr>
          <w:rStyle w:val="VerbatimChar"/>
        </w:rPr>
        <w:t xml:space="preserve">joint_bootstrap_covariance.csv</w:t>
      </w:r>
      <w:r>
        <w:t xml:space="preserve">,</w:t>
      </w:r>
      <w:r>
        <w:t xml:space="preserve"> </w:t>
      </w:r>
      <w:r>
        <w:rPr>
          <w:rStyle w:val="VerbatimChar"/>
        </w:rPr>
        <w:t xml:space="preserve">joint_bootstrap_correlation.csv</w:t>
      </w:r>
      <w:r>
        <w:t xml:space="preserve">,</w:t>
      </w:r>
      <w:r>
        <w:t xml:space="preserve"> </w:t>
      </w:r>
      <w:r>
        <w:rPr>
          <w:rStyle w:val="VerbatimChar"/>
        </w:rPr>
        <w:t xml:space="preserve">joint_bootstrap_replicate_diagnostics.csv</w:t>
      </w:r>
      <w:r>
        <w:t xml:space="preserve"> </w:t>
      </w:r>
      <w:r>
        <w:t xml:space="preserve">and</w:t>
      </w:r>
      <w:r>
        <w:t xml:space="preserve"> </w:t>
      </w:r>
      <w:r>
        <w:rPr>
          <w:rStyle w:val="VerbatimChar"/>
        </w:rPr>
        <w:t xml:space="preserve">joint_bootstrap_summary.json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As detailed in S1, participant identifiers are scoped to each source study rather than to the archive as a whole, so cross-study participant overlap can be neither confirmed nor excluded from the archive’s documentation.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2026-07-28T16:54:09Z</dcterms:created>
  <dcterms:modified xsi:type="dcterms:W3CDTF">2026-07-28T16:54:09Z</dcterms:modified>
</cp:coreProperties>
</file>

<file path=docProps/custom.xml><?xml version="1.0" encoding="utf-8"?>
<Properties xmlns="http://schemas.openxmlformats.org/officeDocument/2006/custom-properties" xmlns:vt="http://schemas.openxmlformats.org/officeDocument/2006/docPropsVTypes"/>
</file>