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planned subgroup, before widening to every source study with an eligible online outcome.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with a 95% interval for an unrepresented cohort of -1.97 to 1.85 on the log-odds scale, spanning mappings that badly understate and badly overstate accuracy. Slope heterogeneity led to the same conclusion, at tau 0.43 and an unrepresented-cohort interval of 0.111 to 2.005.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online session accuracy in the corresponding P300-speller session,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planned subgroup, before the design widened to every source study with an eligible online outcome.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originally planned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(Study Design and Reporting, above). The remaining cohorts carry no documented ALS population and are described here as other cohorts rather than as healthy or control cohorts, because the documentation does not support a positive characterisation.</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I-squared[31] and a 95% prediction interval for an unrepresented cohort accompany each. All 18 cohorts were fitted under the cluster, model and quasi-binomial specifications and none was dropped. Under the participant-cluster bootstrap check reported in the Discussion, StudyS1’s cluster resamples fell onto the separation boundary often enough that fewer than half of its 2,000 replicates left an identified estimate, and that cohort is reported as not identified under the bootstrap method alone. Because the bootstrap’s smaller tau could reflect either the estimator or the missing cohort, the cluster-robust pooling was repeated on the identical 17 cohorts the bootstrap identified, excluding Study S1: tau = 0.44 for the slope and 0.87 for the intercept, no closer to the bootstrap’s own 0.37 and 0.77 than the all-18 cluster-robust values of 0.43 and 0.87 were, so most of the difference between the two methods reflects the variance estimator rather than Study S1’s exclusion (supplement, S4).</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I-squared, so the I-squared reported below is an upper estimate: a 20% understatement of the within-cohort variances would put the slope I-squared below the conventional 75% threshold. I-squared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Ten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empirical proxies for the size of the speller matrix, bounded below by the alphabet actually spelled; grid size and stimulus paradigm, in contrast, were transcribed directly from the archive’s own data descriptor, which documents both per source study. A study was coded as using a checkerboard paradigm if any of its documented paradigms was a checkerboard variant (CB, CBcol, or sCB), because those variants share the flash-adjacency-avoidance design the checkerboard paradigm was built for; only 2 of the 18 contributing studies (Study D, Study J) lacked one. The archive’s EDF+ header dictionary also documents an equipment code, but as a single value (gUSBAmp) applying to the entire archive rather than a per-study field, so it does not vary across cohorts and could not be entered as a moderator.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ten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w:t>
      </w:r>
      <w:r>
        <w:t xml:space="preserve"> </w:t>
      </w:r>
      <m:oMath>
        <m:r>
          <m:t>ρ</m:t>
        </m:r>
      </m:oMath>
      <w:r>
        <w:t xml:space="preserve"> </w:t>
      </w:r>
      <w:r>
        <w:t xml:space="preserve">=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I-squared are given beneath each panel; I-squared is descriptive only, for the reason given in the Results.</w:t>
      </w:r>
    </w:p>
    <w:p>
      <w:pPr>
        <w:pStyle w:val="BodyText"/>
      </w:pPr>
      <w:r>
        <w:drawing>
          <wp:inline>
            <wp:extent cx="5334000" cy="3408326"/>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408326"/>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(Table 2).</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The dashed line is equality. Points above it are bins whose accuracy the mapping understated and points below are bins whose accuracy it overstated. The number in each panel is observed minus estimated accuracy across that whole cohort. The full 18-cohort version of this figure is Figure S2.</w:t>
      </w:r>
    </w:p>
    <w:p>
      <w:pPr>
        <w:pStyle w:val="BodyText"/>
      </w:pPr>
      <w:r>
        <w:drawing>
          <wp:inline>
            <wp:extent cx="5334000" cy="1339540"/>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1339540"/>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mean across the observed cohorts; the lighter band is the 95% interval for a cohort not represented in the archive. The two answer different questions and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I-squared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I-squared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(Table 2),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rPr>
          <w:b/>
          <w:bCs/>
        </w:rPr>
        <w:t xml:space="preserve">Table 2. Per-cohort composition and withheld-cohort performance.</w:t>
      </w:r>
      <w:r>
        <w:t xml:space="preserve"> </w:t>
      </w:r>
      <w:r>
        <w:t xml:space="preserve">For each of the 18 contributing cohorts: participants, records, analysed selections, mean observed session-condition accuracy, and, when that cohort was withheld from model development, the mean absolute error, character-weighted area under the curve, and calibration intercept and slope. Calibration intercepts and slopes are from the primary cluster-robust specification, with standard errors clustered on participant. ALS cohorts are listed first. The calibration slope ranges from 0.185 to 2.185 and the intercept from -2.169 to 1.995; four slope confidence intervals include zero.</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pPr>
            <w:r>
              <w:t xml:space="preserve">Calib. slope (95% CI)</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pPr>
            <w:r>
              <w:t xml:space="preserve">1.578 (0.691 to 2.464)</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pPr>
            <w:r>
              <w:t xml:space="preserve">1.418 (1.205 to 1.631)</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pPr>
            <w:r>
              <w:t xml:space="preserve">1.775 (1.413 to 2.137)</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pPr>
            <w:r>
              <w:t xml:space="preserve">1.145 (0.681 to 1.609)</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pPr>
            <w:r>
              <w:t xml:space="preserve">1.999 (1.375 to 2.622)</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pPr>
            <w:r>
              <w:t xml:space="preserve">0.839 (0.461 to 1.217)</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pPr>
            <w:r>
              <w:t xml:space="preserve">0.782 (0.214 to 1.351)</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pPr>
            <w:r>
              <w:t xml:space="preserve">1.399 (0.957 to 1.840)</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pPr>
            <w:r>
              <w:t xml:space="preserve">0.185 (-0.289 to 0.659)</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pPr>
            <w:r>
              <w:t xml:space="preserve">1.044 (0.170 to 1.917)</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pPr>
            <w:r>
              <w:t xml:space="preserve">0.326 (-0.063 to 0.716)</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pPr>
            <w:r>
              <w:t xml:space="preserve">0.480 (-0.193 to 1.153)</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pPr>
            <w:r>
              <w:t xml:space="preserve">0.888 (0.480 to 1.297)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pPr>
            <w:r>
              <w:t xml:space="preserve">0.583 (0.079 to 1.087)</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pPr>
            <w:r>
              <w:t xml:space="preserve">1.108 (0.844 to 1.371)</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pPr>
            <w:r>
              <w:t xml:space="preserve">0.763 (0.359 to 1.166)</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pPr>
            <w:r>
              <w:t xml:space="preserve">1.312 (-0.216 to 2.840)</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pPr>
            <w:r>
              <w:t xml:space="preserve">2.185 (1.215 to 3.154)</w:t>
            </w:r>
          </w:p>
        </w:tc>
      </w:tr>
    </w:tbl>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which are what a reader would compute from Table 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StudyH the model was less accurate than both benchmarks, and it is the same cohort that fails the development-mean benchmark. Four are cohorts whose observed accuracy sits high enough that their own mean already tracks nearly every record: in StudyE, StudyR, StudyS2 and StudyS1, accuracy averages 0.921, 0.963, 0.976 and 0.997 and the own-mean benchmark errs by 0.049, 0.047, 0.035 and 0.005, leaving little error for any predictor to reduce. StudyS1 is the limiting case, where that near-zero denominator makes the ratio large and negative and not comparable with the rest. In the sixth, StudyJ, the shortfall is -0.008, which is parity rather than failure.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planned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Table 2 sums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Ten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ten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0.015), associated with a reduction in the between-cohort variance of the slope from tau squared = 0.187 to 0.063, a share of 66%, equivalently a residual between-cohort standard deviation of 0.25 against 0.43. The rank correlation agreed at rho = 0.72 (p &lt; 0.001, Holm p = 0.007),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t xml:space="preserve">No other descriptor was associated with a share of the between-cohort variance distinguishable from zero, including the archive’s own documented grid size and its documented use of a checkerboard-variant paradigm, alongside both empirical proxies for matrix size (supplement, S6). The result was also checked for robustness to how the stopping rule’s descriptor was defined, to whether it is partly a consequence of the recording rather than a fixed protocol setting, and to how the multiple-comparison correction was applied across the ten descriptors tested; all three checks left the result materially unchanged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the four checks named in the Methods: excluding low-count records, restricting to cohorts with meaningful accuracy variation, excluding records with heavy calibration-epoch rejection, and leave-two-studies-out development, which withheld two cohorts at a time so that development ran on 16 rather than 17 cohorts and reproduced the primary result across all 153 splits (Table S4). The cohort-subset comparison restricted to the cohorts without a documented ALS population, shown alongside these checks in Table S4 for comparison rather than as one of the four, gave a consistent result as well. Every comparator predictor named in the Methods was run through the same procedure and is reported in full in Table S6; the regularised linear discriminant computed from the identical features agreed with the primary score to within 0.007 on most summary columns, the two exceptions being the per-cohort slope range and the between-cohort MAE SD,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independent P300-speller cohorts, the discriminability of a classifier fitted to a session’s calibration block was related to that same session’s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the slope agreed,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the number of calibration files, surviving epochs and cross-validation folds differ, and the score’s standard error ranges from 0.008 to 0.031, a fourfold spread. Measurement error in a predictor attenuates a fitted slope, so some between-cohort spread in calibration could reflect precision rather than a true difference in the relationship. Correcting each cohort’s slope for its own reliability, which ran from 0.848 to 0.992, moved the between-cohort standard deviation only from tau = 0.432 to 0.422, surviving a stress test that inflated the assumed measurement-error variance up to the point of losing identifiability (supplement, S9). Measurement error in the predictor is therefore real but minor, and does not explain the mapping’s failure to transport.</w:t>
      </w:r>
    </w:p>
    <w:p>
      <w:pPr>
        <w:pStyle w:val="BodyText"/>
      </w:pPr>
      <w:r>
        <w:t xml:space="preserve">Part of that variation is attributable to a protocol difference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(a mapping whose slope depends on the stopping rule still cannot be carried to a site whose stopping rule is unknown), but it does change how the residual spread should be 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S9), vary by a coefficient of variation of 2.5% and 3.3% respectively across folds, against 49.4% for the held-out cohort-specific validated slopes in Table 2. All three figures use the population standard deviation over the mean rather than the sample standard deviation reported elsewhere in this section, so they should not be reconciled arithmetically against the 0.560 figure above. The between-cohort spread this paper reports therefore reflects how each fold’s mapping performs in the cohort withheld from it, not instability in what each fold fits. That distinction is evidence against development-fit noise as an alternative explanation for the heterogeneity.</w:t>
      </w:r>
    </w:p>
    <w:p>
      <w:pPr>
        <w:pStyle w:val="BodyText"/>
      </w:pPr>
      <w:r>
        <w:t xml:space="preserve">The 18 folds are also not independent of one another, since any two share up to 16 of 17 development cohorts, and a joint bootstrap addresses that correlation directly rather than bounding it. Resampling every cohort’s participants once per replicate and refitting all 18 leave-one-study-out folds from that single resampled draw, so the same resampled development data enter every fold within a replicate instead of being redrawn independently fold by fold, gave a within-replicate between-cohort standard deviation of the slope that averaged 0.79 across 2,000 replicates (95% range 0.49 to 1.56) and of the intercept 1.62 (0.94 to 3.36), larger in both cases than the meta-analytic tau reported above (0.43 slope, 0.87 intercept). That direction is expected rather than discordant: because this procedure never resamples which 18 cohorts are observed, only the participants within each fixed cohort, the spread it measures mixes genuine between-cohort heterogeneity with each fold’s own within-cohort sampling noise and estimates something closer to the square root of tau squared plus the mean within-cohort sampling variance, which is structurally at least as large as tau. It is reported here as an empirical, assumption-light quantity that combines both sources of spread, not as a corrected or dependence-aware version of tau itself (supplement, S4).</w:t>
      </w:r>
    </w:p>
    <w:p>
      <w:pPr>
        <w:pStyle w:val="BodyText"/>
      </w:pPr>
      <w:r>
        <w:t xml:space="preserve">The four ALS cohorts alone gave a more favourable and more homogeneous picture than the full archive (Results, Amyotrophic Lateral Sclerosis Subgroup); evaluating a mapping on a small number of withheld cohorts should be expected to understate how much performance varies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concrete step,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(the signature of the stopping rule; Results, Protocol Descriptors as Moderators), and the range of target indices, which bounds the speller alphabet from below and was not associated with a share distinguishable from zero. The archive does document a grid size and a stimulus paradigm per study, unlike the stopping rule; both were tested directly and neither was associated with a share distinguishable from zero either (Results, Protocol Descriptors as Moderators). What remains untestable is the stopping algorithm and the thresholds it used, the exact grid layout beyond its documented total size,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and the joint bootstrap in the Discussion measures it directly rather than only bounding it. Coefficients that varied widely across folds despite that shared training data would themselves be evidence of fold-to-fold instability, and they do not. That correlation is now measured rather than merely bounded: the joint bootstrap’s correlation matrix (supplement, S4) shows it concentrated in a handful of cohort pairs rather than spread evenly across all 153, consistent with a small number of cohorts having outsized influence on each other’s development fit rather than every fold moving in lockstep.</w:t>
      </w:r>
    </w:p>
    <w:p>
      <w:pPr>
        <w:pStyle w:val="BodyText"/>
      </w:pPr>
      <w:r>
        <w:t xml:space="preserve">Tenth, the between-cohort variance is itself estimated with limited precision: eighteen cohorts of 5 to 24 participants leave tau imprecise, and a cluster-robust variance at these cluster counts is downward-biased, inflating tau and I-squared in the direction that favours the conclusion. The conclusion holds at tau’s lower confidence limit, with within-cohort variances inflated fivefold (Results, Transportability), and under a participant-cluster bootstrap sensitivity analysis that does not rely on the sandwich standard-error approximation, which gave a smaller tau of 0.37 for the slope and 0.77 for the intercept (supplement, S4).</w:t>
      </w:r>
    </w:p>
    <w:bookmarkEnd w:id="48"/>
    <w:bookmarkStart w:id="49" w:name="conclusion"/>
    <w:p>
      <w:pPr>
        <w:pStyle w:val="Heading3"/>
      </w:pPr>
      <w:r>
        <w:t xml:space="preserve">Conclusion</w:t>
      </w:r>
    </w:p>
    <w:p>
      <w:pPr>
        <w:pStyle w:val="FirstParagraph"/>
      </w:pPr>
      <w:r>
        <w:t xml:space="preserve">In 18 independent P300-speller cohorts, calibration-derived decoder discriminability was related to online spelling accuracy in the corresponding session,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a cohort outside the archive cannot be promised discrimination above chance or skill above zero. A calibration score may support ranking sessions within a setting and may support a data-quality screen, and it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acknowledgements"/>
    <w:p>
      <w:pPr>
        <w:pStyle w:val="Heading2"/>
      </w:pPr>
      <w:r>
        <w:t xml:space="preserve">Acknowledgements</w:t>
      </w:r>
    </w:p>
    <w:p>
      <w:pPr>
        <w:pStyle w:val="FirstParagraph"/>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End w:id="51"/>
    <w:bookmarkStart w:id="52"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https://github.com/Alon-Gorenshtein/study_bigp3_als_calibration.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2026-07-28T15:03:18Z</dcterms:created>
  <dcterms:modified xsi:type="dcterms:W3CDTF">2026-07-28T15:03:18Z</dcterms:modified>
</cp:coreProperties>
</file>

<file path=docProps/custom.xml><?xml version="1.0" encoding="utf-8"?>
<Properties xmlns="http://schemas.openxmlformats.org/officeDocument/2006/custom-properties" xmlns:vt="http://schemas.openxmlformats.org/officeDocument/2006/docPropsVTypes"/>
</file>