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DE81" w14:textId="77777777" w:rsidR="0058050B" w:rsidRDefault="0058050B" w:rsidP="0058050B">
      <w:r>
        <w:t>Here are the 12 texts that make up the corpus for the Phase 2 experiment, broken down by domain and type. You can use this as a reference guide to see exactly what the AI models are reading.</w:t>
      </w:r>
    </w:p>
    <w:p w14:paraId="6F8AE33C" w14:textId="77777777" w:rsidR="0058050B" w:rsidRDefault="0058050B" w:rsidP="0058050B"/>
    <w:p w14:paraId="3E3C75F9" w14:textId="77777777" w:rsidR="0058050B" w:rsidRDefault="0058050B" w:rsidP="0058050B">
      <w:r>
        <w:t>Domain 1: Real Estate Investment</w:t>
      </w:r>
    </w:p>
    <w:p w14:paraId="3086B0FE" w14:textId="77777777" w:rsidR="0058050B" w:rsidRDefault="0058050B" w:rsidP="0058050B">
      <w:r>
        <w:t>Type 1: Fraudulent (Source: SEC Complaint)</w:t>
      </w:r>
    </w:p>
    <w:p w14:paraId="3A40CA74" w14:textId="77777777" w:rsidR="0058050B" w:rsidRDefault="0058050B" w:rsidP="0058050B">
      <w:r>
        <w:t>"Investors' net invested capital is 100% protected from loss. The General Partner maintains a balance sheet in excess of $250 million that could be drawn upon in the unlikely event that an investor's net invested capital commitment was not returned in full. MG Capital has a proven track record — 10-year investment performance exceeding S&amp;P 500 returns, 20+ years of deep investment expertise, consistent year-over-year growth for investors since 2000. Fund I raised $350 million of investor capital and earned a gross return on investment of 38.99%, outperforming the S&amp;P 500 Index by 4.5-to-1."</w:t>
      </w:r>
    </w:p>
    <w:p w14:paraId="62A3973C" w14:textId="77777777" w:rsidR="0058050B" w:rsidRDefault="0058050B" w:rsidP="0058050B"/>
    <w:p w14:paraId="38EDC37F" w14:textId="77777777" w:rsidR="0058050B" w:rsidRDefault="0058050B" w:rsidP="0058050B">
      <w:r>
        <w:t>Type 2: Compliant (Source: EDGAR 10-K Filing)</w:t>
      </w:r>
    </w:p>
    <w:p w14:paraId="1471ABCB" w14:textId="77777777" w:rsidR="0058050B" w:rsidRDefault="0058050B" w:rsidP="0058050B">
      <w:r>
        <w:t>"These statements are not guarantees of future performance and are subject to risks, uncertainties and other factors, some of which are beyond our control and difficult to predict, and could cause actual results to differ materially from those expressed. General economic conditions including heightened inflation, slower growth or recession, changes to monetary policy, higher interest rates and currency fluctuations may adversely affect our results. An economic downturn could disproportionately impact investments we target."</w:t>
      </w:r>
    </w:p>
    <w:p w14:paraId="67D83740" w14:textId="77777777" w:rsidR="0058050B" w:rsidRDefault="0058050B" w:rsidP="0058050B"/>
    <w:p w14:paraId="6CCC8E67" w14:textId="77777777" w:rsidR="0058050B" w:rsidRDefault="0058050B" w:rsidP="0058050B">
      <w:r>
        <w:t>Type 3: Hedged Honest (Source: Federal Reserve Beige Book)</w:t>
      </w:r>
    </w:p>
    <w:p w14:paraId="7E8004CB" w14:textId="77777777" w:rsidR="0058050B" w:rsidRDefault="0058050B" w:rsidP="0058050B">
      <w:r>
        <w:t>"Commercial real estate activity appears to be softening slightly in several districts. Contacts report that office leasing might face continued headwinds due to remote work trends, though the exact impact remains unclear. While some industrial construction is proceeding, rising interest rates could potentially dampen future investment. Market participants are generally cautious, noting that conditions may vary significantly by submarket over the coming months."</w:t>
      </w:r>
    </w:p>
    <w:p w14:paraId="1044D7DC" w14:textId="77777777" w:rsidR="0058050B" w:rsidRDefault="0058050B" w:rsidP="0058050B"/>
    <w:p w14:paraId="3C19CCFE" w14:textId="77777777" w:rsidR="0058050B" w:rsidRDefault="0058050B" w:rsidP="0058050B">
      <w:r>
        <w:t>Type 4: Certain Honest (Source: CBO Projection)</w:t>
      </w:r>
    </w:p>
    <w:p w14:paraId="44D9FD59" w14:textId="77777777" w:rsidR="0058050B" w:rsidRDefault="0058050B" w:rsidP="0058050B">
      <w:r>
        <w:t>"Residential fixed investment is projected to decline by 8.5 percent in the current calendar year. Mortgage rates will remain elevated through the fourth quarter, suppressing demand for new home purchases. Consequently, housing starts will fall to an annualized rate of 1.3 million units. This contraction in the housing sector directly reduces overall real gross domestic product growth for the fiscal period."</w:t>
      </w:r>
    </w:p>
    <w:p w14:paraId="79D90756" w14:textId="77777777" w:rsidR="0058050B" w:rsidRDefault="0058050B" w:rsidP="0058050B"/>
    <w:p w14:paraId="15FB5D70" w14:textId="77777777" w:rsidR="0058050B" w:rsidRDefault="0058050B" w:rsidP="0058050B">
      <w:r>
        <w:t>Domain 2: Technology / Digital Assets</w:t>
      </w:r>
    </w:p>
    <w:p w14:paraId="673C5A71" w14:textId="77777777" w:rsidR="0058050B" w:rsidRDefault="0058050B" w:rsidP="0058050B">
      <w:r>
        <w:t>Type 1: Fraudulent (Source: SEC Complaint)</w:t>
      </w:r>
    </w:p>
    <w:p w14:paraId="11668934" w14:textId="77777777" w:rsidR="0058050B" w:rsidRDefault="0058050B" w:rsidP="0058050B">
      <w:r>
        <w:lastRenderedPageBreak/>
        <w:t>"Start Options is the largest Bitcoin exchange in euro volume and liquidity, consistently rated the best and most secure Bitcoin exchange by independent news media. This is a fully operational, revenue-generating exchange with institutional-grade security and unmatched liquidity depth across all major trading pairs. Our technology infrastructure is built to enterprise standards and has processed billions in verified transactions. Early investors are guaranteed priority access and preferential rates at launch."</w:t>
      </w:r>
    </w:p>
    <w:p w14:paraId="25AA55CD" w14:textId="77777777" w:rsidR="0058050B" w:rsidRDefault="0058050B" w:rsidP="0058050B"/>
    <w:p w14:paraId="12AA5F02" w14:textId="77777777" w:rsidR="0058050B" w:rsidRDefault="0058050B" w:rsidP="0058050B">
      <w:r>
        <w:t>Type 2: Compliant (Source: EDGAR 10-K Filing)</w:t>
      </w:r>
    </w:p>
    <w:p w14:paraId="2D0B98C8" w14:textId="77777777" w:rsidR="0058050B" w:rsidRDefault="0058050B" w:rsidP="0058050B">
      <w:r>
        <w:t>"It is not possible for our management to predict all risks, nor can we assess the impact of all factors on our business or the extent to which any factor may cause actual results to differ materially from those contained in forward-looking statements. We cannot guarantee future results, levels of activity, performance or achievements. We cannot assure you that we will achieve profitability in the future. New risks emerge from time to time and it is not possible to predict all risk factors."</w:t>
      </w:r>
    </w:p>
    <w:p w14:paraId="30F10E51" w14:textId="77777777" w:rsidR="0058050B" w:rsidRDefault="0058050B" w:rsidP="0058050B"/>
    <w:p w14:paraId="2ABF1537" w14:textId="77777777" w:rsidR="0058050B" w:rsidRDefault="0058050B" w:rsidP="0058050B">
      <w:r>
        <w:t>Type 3: Hedged Honest (Source: Federal Reserve Beige Book)</w:t>
      </w:r>
    </w:p>
    <w:p w14:paraId="7F9DA602" w14:textId="77777777" w:rsidR="0058050B" w:rsidRDefault="0058050B" w:rsidP="0058050B">
      <w:r>
        <w:t>"Demand for technology services is reportedly growing at a moderate pace. Some software firms suggest that sales cycles are lengthening as clients take more time to evaluate expenditures. Hiring in the tech sector seems to be stabilizing, though a few contacts noted it is difficult to forecast future headcount needs given current economic ambiguities. Overall sentiment in the digital sector leans positive, but contacts remain wary of potential shifts."</w:t>
      </w:r>
    </w:p>
    <w:p w14:paraId="5DF6A26C" w14:textId="77777777" w:rsidR="0058050B" w:rsidRDefault="0058050B" w:rsidP="0058050B"/>
    <w:p w14:paraId="59C1E146" w14:textId="77777777" w:rsidR="0058050B" w:rsidRDefault="0058050B" w:rsidP="0058050B">
      <w:r>
        <w:t>Type 4: Certain Honest (Source: CBO Projection)</w:t>
      </w:r>
    </w:p>
    <w:p w14:paraId="7DEC24AD" w14:textId="77777777" w:rsidR="0058050B" w:rsidRDefault="0058050B" w:rsidP="0058050B">
      <w:r>
        <w:t>"Federal spending on information technology infrastructure will increase by $4.2 billion over the next fiscal year. These expenditures are allocated primarily to upgrading legacy database systems and expanding cloud computing capabilities across civilian agencies. The implementation of these technology upgrades will reduce long-term maintenance costs by 15 percent by the end of the ten-year budget window."</w:t>
      </w:r>
    </w:p>
    <w:p w14:paraId="6747F06A" w14:textId="77777777" w:rsidR="0058050B" w:rsidRDefault="0058050B" w:rsidP="0058050B"/>
    <w:p w14:paraId="4DDEFE2E" w14:textId="77777777" w:rsidR="0058050B" w:rsidRDefault="0058050B" w:rsidP="0058050B">
      <w:r>
        <w:t>Domain 3: Diversified Businesses</w:t>
      </w:r>
    </w:p>
    <w:p w14:paraId="7ECA0539" w14:textId="77777777" w:rsidR="0058050B" w:rsidRDefault="0058050B" w:rsidP="0058050B">
      <w:r>
        <w:t>Type 1: Fraudulent (Source: SEC Complaint)</w:t>
      </w:r>
    </w:p>
    <w:p w14:paraId="273745BB" w14:textId="77777777" w:rsidR="0058050B" w:rsidRDefault="0058050B" w:rsidP="0058050B">
      <w:r>
        <w:t>"Guess and Co. is a diversified energy, health care, technology, and real estate company that has earned millions of dollars in revenue from its business operations from 2019 to 2021. We project the company will earn billions in revenue in both 2021 and 2022. Our operations are fully established and generating consistent cash flows across all divisions. Management has over 30 years of combined operational experience and has successfully scaled multiple enterprises to nine-figure valuations."</w:t>
      </w:r>
    </w:p>
    <w:p w14:paraId="0E7AF1AD" w14:textId="77777777" w:rsidR="0058050B" w:rsidRDefault="0058050B" w:rsidP="0058050B"/>
    <w:p w14:paraId="1D962C0D" w14:textId="77777777" w:rsidR="0058050B" w:rsidRDefault="0058050B" w:rsidP="0058050B">
      <w:r>
        <w:t>Type 2: Compliant (Source: EDGAR 10-K Filing)</w:t>
      </w:r>
    </w:p>
    <w:p w14:paraId="2524BD06" w14:textId="77777777" w:rsidR="0058050B" w:rsidRDefault="0058050B" w:rsidP="0058050B">
      <w:r>
        <w:lastRenderedPageBreak/>
        <w:t>"There can be no assurance that future developments affecting us will be those we have anticipated. These forward-looking statements involve risks and uncertainties, some beyond our control, that may cause actual results to differ materially from those expressed. We cannot guarantee that our plans, intentions or expectations will be achieved. Actual results could differ materially and adversely from those anticipated."</w:t>
      </w:r>
    </w:p>
    <w:p w14:paraId="0D7461E7" w14:textId="77777777" w:rsidR="0058050B" w:rsidRDefault="0058050B" w:rsidP="0058050B"/>
    <w:p w14:paraId="44DCA2C6" w14:textId="77777777" w:rsidR="0058050B" w:rsidRDefault="0058050B" w:rsidP="0058050B">
      <w:r>
        <w:t>Type 3: Hedged Honest (Source: Federal Reserve Beige Book)</w:t>
      </w:r>
    </w:p>
    <w:p w14:paraId="5F5D672F" w14:textId="77777777" w:rsidR="0058050B" w:rsidRDefault="0058050B" w:rsidP="0058050B">
      <w:r>
        <w:t>"Manufacturing and energy contacts generally report flat to slightly higher output. Supply chain disruptions seem to be easing, which might help lower input costs in the near term, although energy prices remain volatile. Retail contacts are unsure how consumer spending will hold up through the holiday season. The outlook for diversified manufacturing is mixed, with businesses expressing varying degrees of uncertainty about next year."</w:t>
      </w:r>
    </w:p>
    <w:p w14:paraId="1D4C6D70" w14:textId="77777777" w:rsidR="0058050B" w:rsidRDefault="0058050B" w:rsidP="0058050B"/>
    <w:p w14:paraId="180F22BA" w14:textId="77777777" w:rsidR="0058050B" w:rsidRDefault="0058050B" w:rsidP="0058050B">
      <w:r>
        <w:t>Type 4: Certain Honest (Source: CBO Projection)</w:t>
      </w:r>
    </w:p>
    <w:p w14:paraId="3CE49E81" w14:textId="17B40686" w:rsidR="0031478D" w:rsidRDefault="0058050B" w:rsidP="0058050B">
      <w:r>
        <w:t>"Corporate tax revenues from the manufacturing and energy sectors will total $340 billion this fiscal year. The statutory tax rate remains fixed at 21 percent for all corporate entities. Deductions for capital expenditures and equipment depreciation will reduce total taxable corporate income by $85 billion. These structural tax provisions are permanent under current federal law and will govern corporate liabilities through the next decade."</w:t>
      </w:r>
    </w:p>
    <w:sectPr w:rsidR="00314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0B"/>
    <w:rsid w:val="0031478D"/>
    <w:rsid w:val="00567499"/>
    <w:rsid w:val="0058050B"/>
    <w:rsid w:val="009C5BDC"/>
    <w:rsid w:val="00B52872"/>
    <w:rsid w:val="00BA43C0"/>
  </w:rsids>
  <m:mathPr>
    <m:mathFont m:val="Cambria Math"/>
    <m:brkBin m:val="before"/>
    <m:brkBinSub m:val="--"/>
    <m:smallFrac m:val="0"/>
    <m:dispDef/>
    <m:lMargin m:val="0"/>
    <m:rMargin m:val="0"/>
    <m:defJc m:val="centerGroup"/>
    <m:wrapIndent m:val="1440"/>
    <m:intLim m:val="subSup"/>
    <m:naryLim m:val="undOvr"/>
  </m:mathPr>
  <w:themeFontLang w:val="en-NZ"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61DD"/>
  <w15:chartTrackingRefBased/>
  <w15:docId w15:val="{0B6F4BA0-17BC-41D9-A480-4347B4D7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0B"/>
    <w:rPr>
      <w:rFonts w:eastAsiaTheme="majorEastAsia" w:cstheme="majorBidi"/>
      <w:color w:val="272727" w:themeColor="text1" w:themeTint="D8"/>
    </w:rPr>
  </w:style>
  <w:style w:type="paragraph" w:styleId="Title">
    <w:name w:val="Title"/>
    <w:basedOn w:val="Normal"/>
    <w:next w:val="Normal"/>
    <w:link w:val="TitleChar"/>
    <w:uiPriority w:val="10"/>
    <w:qFormat/>
    <w:rsid w:val="00580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0B"/>
    <w:pPr>
      <w:spacing w:before="160"/>
      <w:jc w:val="center"/>
    </w:pPr>
    <w:rPr>
      <w:i/>
      <w:iCs/>
      <w:color w:val="404040" w:themeColor="text1" w:themeTint="BF"/>
    </w:rPr>
  </w:style>
  <w:style w:type="character" w:customStyle="1" w:styleId="QuoteChar">
    <w:name w:val="Quote Char"/>
    <w:basedOn w:val="DefaultParagraphFont"/>
    <w:link w:val="Quote"/>
    <w:uiPriority w:val="29"/>
    <w:rsid w:val="0058050B"/>
    <w:rPr>
      <w:i/>
      <w:iCs/>
      <w:color w:val="404040" w:themeColor="text1" w:themeTint="BF"/>
    </w:rPr>
  </w:style>
  <w:style w:type="paragraph" w:styleId="ListParagraph">
    <w:name w:val="List Paragraph"/>
    <w:basedOn w:val="Normal"/>
    <w:uiPriority w:val="34"/>
    <w:qFormat/>
    <w:rsid w:val="0058050B"/>
    <w:pPr>
      <w:ind w:left="720"/>
      <w:contextualSpacing/>
    </w:pPr>
  </w:style>
  <w:style w:type="character" w:styleId="IntenseEmphasis">
    <w:name w:val="Intense Emphasis"/>
    <w:basedOn w:val="DefaultParagraphFont"/>
    <w:uiPriority w:val="21"/>
    <w:qFormat/>
    <w:rsid w:val="0058050B"/>
    <w:rPr>
      <w:i/>
      <w:iCs/>
      <w:color w:val="0F4761" w:themeColor="accent1" w:themeShade="BF"/>
    </w:rPr>
  </w:style>
  <w:style w:type="paragraph" w:styleId="IntenseQuote">
    <w:name w:val="Intense Quote"/>
    <w:basedOn w:val="Normal"/>
    <w:next w:val="Normal"/>
    <w:link w:val="IntenseQuoteChar"/>
    <w:uiPriority w:val="30"/>
    <w:qFormat/>
    <w:rsid w:val="00580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0B"/>
    <w:rPr>
      <w:i/>
      <w:iCs/>
      <w:color w:val="0F4761" w:themeColor="accent1" w:themeShade="BF"/>
    </w:rPr>
  </w:style>
  <w:style w:type="character" w:styleId="IntenseReference">
    <w:name w:val="Intense Reference"/>
    <w:basedOn w:val="DefaultParagraphFont"/>
    <w:uiPriority w:val="32"/>
    <w:qFormat/>
    <w:rsid w:val="00580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Babchuk</dc:creator>
  <cp:keywords/>
  <dc:description/>
  <cp:lastModifiedBy>Alon Babchuk</cp:lastModifiedBy>
  <cp:revision>1</cp:revision>
  <dcterms:created xsi:type="dcterms:W3CDTF">2026-05-16T23:33:00Z</dcterms:created>
  <dcterms:modified xsi:type="dcterms:W3CDTF">2026-05-16T23:34:00Z</dcterms:modified>
</cp:coreProperties>
</file>