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20"/>
        <w:ind w:firstLine="0"/>
        <w:jc w:val="center"/>
      </w:pPr>
      <w:r>
        <w:rPr>
          <w:rFonts w:ascii="Calibri" w:hAnsi="Calibri"/>
          <w:b/>
          <w:i w:val="0"/>
          <w:sz w:val="26"/>
        </w:rPr>
        <w:t>Does Working Memory Capacity Constrain Automatic Reward-Driven Choice Under Known Non-Contingency?</w:t>
      </w:r>
    </w:p>
    <w:p>
      <w:pPr>
        <w:spacing w:line="276" w:lineRule="auto" w:before="0" w:after="80"/>
        <w:ind w:firstLine="0"/>
        <w:jc w:val="center"/>
      </w:pPr>
      <w:r>
        <w:rPr>
          <w:rFonts w:ascii="Calibri" w:hAnsi="Calibri"/>
          <w:b w:val="0"/>
          <w:i w:val="0"/>
          <w:sz w:val="20"/>
        </w:rPr>
        <w:t>Alon Kagan — Hierarchical Models (1071-8710), Final Assignment</w:t>
      </w:r>
    </w:p>
    <w:p>
      <w:pPr>
        <w:pStyle w:val="Heading1"/>
      </w:pPr>
      <w:r>
        <w:rPr>
          <w:rFonts w:ascii="Calibri" w:hAnsi="Calibri"/>
        </w:rPr>
        <w:t>Introduction</w:t>
      </w:r>
    </w:p>
    <w:p>
      <w:pPr>
        <w:spacing w:line="360" w:lineRule="auto" w:before="0" w:after="0"/>
        <w:ind w:firstLine="317"/>
      </w:pPr>
      <w:r>
        <w:rPr>
          <w:rFonts w:ascii="Calibri" w:hAnsi="Calibri"/>
          <w:b w:val="0"/>
          <w:i w:val="0"/>
          <w:sz w:val="22"/>
        </w:rPr>
        <w:t>Reward strengthens whatever action preceded it, even when the actor knows the action did not cause it. In an explicitly uncontrollable three-armed bandit — every machine instructed, and verified afterwards, to pay out with the same fixed probability — participants still repeat a choice more often after a win than after a loss (win-stay lose-shift, WSLS). This descendant of superstitious conditioning (Skinner, 1948) is interesting because the correct policy is known to the participant: what drives the behaviour is not corrected by knowing better.</w:t>
      </w:r>
    </w:p>
    <w:p>
      <w:pPr>
        <w:spacing w:line="360" w:lineRule="auto" w:before="0" w:after="0"/>
        <w:ind w:firstLine="317"/>
      </w:pPr>
      <w:r>
        <w:rPr>
          <w:rFonts w:ascii="Calibri" w:hAnsi="Calibri"/>
          <w:b w:val="0"/>
          <w:i w:val="0"/>
          <w:sz w:val="22"/>
        </w:rPr>
        <w:t>Not acting on an automatic credit assignment means overriding it trial by trial, the prototypical demand on domain-general cognitive control, and individual differences in that capacity are plausibly indexed by visual working memory (WM) capacity (Cowan’s K; Cowan, 2001). Participants with more spare capacity should therefore show a weaker effect of previous reward on staying — a within-person, trial-level effect moderated by a between-person trait, i.e. a cross-level interaction. A two-stage analysis of these data (a WSLS slope per participant, then a correlation of those slopes with K) found the predicted relation weakly (slope median = −0.79, pd = 86.5%) but discarded the uncertainty attached to each slope; here the question is asked in one step, in a hierarchical logistic model fit to every trial of every participant.</w:t>
      </w:r>
    </w:p>
    <w:p>
      <w:pPr>
        <w:pStyle w:val="Heading1"/>
      </w:pPr>
      <w:r>
        <w:rPr>
          <w:rFonts w:ascii="Calibri" w:hAnsi="Calibri"/>
        </w:rPr>
        <w:t>Method and Results</w:t>
      </w:r>
    </w:p>
    <w:p>
      <w:pPr>
        <w:pStyle w:val="Heading2"/>
      </w:pPr>
      <w:r>
        <w:rPr>
          <w:rFonts w:ascii="Calibri" w:hAnsi="Calibri"/>
        </w:rPr>
        <w:t>Data structure</w:t>
      </w:r>
    </w:p>
    <w:p>
      <w:pPr>
        <w:spacing w:line="360" w:lineRule="auto" w:before="0" w:after="0"/>
        <w:ind w:firstLine="317"/>
      </w:pPr>
      <w:r>
        <w:rPr>
          <w:rFonts w:ascii="Calibri" w:hAnsi="Calibri"/>
          <w:b w:val="0"/>
          <w:i w:val="0"/>
          <w:sz w:val="22"/>
        </w:rPr>
        <w:t>The data are the fourth (largest, corrected-timing) pilot of the task: N = 35 adults, six blocks of 25 trials. Dropping trials whose own or preceding response was invalid or timed out leaves 135–144 trials per participant (M = 143.6; 5,025 in total). Trials are nested in blocks within participants, but participants are the random grouping variable of interest — a sample from a population we want to generalise to — whereas the six blocks are fixed, identical repetitions, so the block level enters only as a robustness check.</w:t>
      </w:r>
    </w:p>
    <w:p>
      <w:pPr>
        <w:spacing w:line="360" w:lineRule="auto" w:before="0" w:after="0"/>
        <w:ind w:firstLine="317"/>
      </w:pPr>
      <w:r>
        <w:rPr>
          <w:rFonts w:ascii="Calibri" w:hAnsi="Calibri"/>
          <w:b w:val="0"/>
          <w:i/>
          <w:sz w:val="22"/>
        </w:rPr>
        <w:t>stay</w:t>
      </w:r>
      <w:r>
        <w:rPr>
          <w:rFonts w:ascii="Calibri" w:hAnsi="Calibri"/>
          <w:b w:val="0"/>
          <w:i w:val="0"/>
          <w:sz w:val="22"/>
        </w:rPr>
        <w:t xml:space="preserve"> (0/1, was the same machine chosen again) and </w:t>
      </w:r>
      <w:r>
        <w:rPr>
          <w:rFonts w:ascii="Calibri" w:hAnsi="Calibri"/>
          <w:b w:val="0"/>
          <w:i/>
          <w:sz w:val="22"/>
        </w:rPr>
        <w:t>reward</w:t>
      </w:r>
      <w:r>
        <w:rPr>
          <w:rFonts w:ascii="Calibri" w:hAnsi="Calibri"/>
          <w:b w:val="0"/>
          <w:i w:val="0"/>
          <w:sz w:val="22"/>
        </w:rPr>
        <w:t>(t−1) (0/1, was the preceding trial rewarded) vary at level 1. Working memory capacity K (Cowan’s formula applied to a separate change-detection task; M = 1.84, SD = 1.17, range −0.49 to 3.89) is time-invariant, varying only at level 2; it was centred on the sample mean (K</w:t>
      </w:r>
      <w:r>
        <w:rPr>
          <w:rFonts w:ascii="Calibri" w:hAnsi="Calibri"/>
          <w:b w:val="0"/>
          <w:i/>
          <w:sz w:val="22"/>
          <w:vertAlign w:val="subscript"/>
        </w:rPr>
        <w:t>c</w:t>
      </w:r>
      <w:r>
        <w:rPr>
          <w:rFonts w:ascii="Calibri" w:hAnsi="Calibri"/>
          <w:b w:val="0"/>
          <w:i w:val="0"/>
          <w:sz w:val="22"/>
        </w:rPr>
        <w:t xml:space="preserve">), so 0 is an average participant here. Being measured rather than manipulated, </w:t>
      </w:r>
      <w:r>
        <w:rPr>
          <w:rFonts w:ascii="Calibri" w:hAnsi="Calibri"/>
          <w:b w:val="0"/>
          <w:i/>
          <w:sz w:val="22"/>
        </w:rPr>
        <w:t>reward</w:t>
      </w:r>
      <w:r>
        <w:rPr>
          <w:rFonts w:ascii="Calibri" w:hAnsi="Calibri"/>
          <w:b w:val="0"/>
          <w:i w:val="0"/>
          <w:sz w:val="22"/>
        </w:rPr>
        <w:t>(t−1) could in principle also carry between-person variance, but as its own outcome it gave an ICC of .001 [.000, .006] — as expected at a fixed reward probability — so its coefficient cannot smush within- with between-person effects. Repeated-measures ANOVA cannot answer the question: the outcome is binary at trial level, trial counts are unbalanced, and K is continuous, so an ANOVA would need a median split.</w:t>
      </w:r>
    </w:p>
    <w:p>
      <w:pPr>
        <w:pStyle w:val="Heading2"/>
      </w:pPr>
      <w:r>
        <w:rPr>
          <w:rFonts w:ascii="Calibri" w:hAnsi="Calibri"/>
        </w:rPr>
        <w:t>Model specification</w:t>
      </w:r>
    </w:p>
    <w:p>
      <w:pPr>
        <w:spacing w:line="360" w:lineRule="auto" w:before="0" w:after="20"/>
        <w:ind w:firstLine="317"/>
      </w:pPr>
      <w:r>
        <w:rPr>
          <w:rFonts w:ascii="Calibri" w:hAnsi="Calibri"/>
          <w:b w:val="0"/>
          <w:i w:val="0"/>
          <w:sz w:val="22"/>
        </w:rPr>
        <w:t>All models are Bernoulli HLMs with a logit link, so there is no level-1 residual to estimate: on the latent scale the level-1 variance is fixed at π²/3 ≈ 3.29.</w:t>
      </w:r>
    </w:p>
    <w:p>
      <w:pPr>
        <w:spacing w:line="240" w:lineRule="auto" w:before="0" w:after="0"/>
        <w:ind w:left="374" w:hanging="374"/>
      </w:pPr>
      <w:r>
        <w:rPr>
          <w:rFonts w:ascii="Calibri" w:hAnsi="Calibri"/>
          <w:b w:val="0"/>
          <w:i w:val="0"/>
          <w:sz w:val="19"/>
        </w:rPr>
        <w:t>Model 0 (unconditional). L1: logit(P(stay</w:t>
      </w:r>
      <w:r>
        <w:rPr>
          <w:rFonts w:ascii="Calibri" w:hAnsi="Calibri"/>
          <w:b w:val="0"/>
          <w:i/>
          <w:sz w:val="19"/>
          <w:vertAlign w:val="subscript"/>
        </w:rPr>
        <w:t>ij</w:t>
      </w:r>
      <w:r>
        <w:rPr>
          <w:rFonts w:ascii="Calibri" w:hAnsi="Calibri"/>
          <w:b w:val="0"/>
          <w:i w:val="0"/>
          <w:sz w:val="19"/>
        </w:rPr>
        <w:t>)) = β</w:t>
      </w:r>
      <w:r>
        <w:rPr>
          <w:rFonts w:ascii="Calibri" w:hAnsi="Calibri"/>
          <w:b w:val="0"/>
          <w:i/>
          <w:sz w:val="19"/>
          <w:vertAlign w:val="subscript"/>
        </w:rPr>
        <w:t>0j</w:t>
      </w:r>
      <w:r>
        <w:rPr>
          <w:rFonts w:ascii="Calibri" w:hAnsi="Calibri"/>
          <w:b w:val="0"/>
          <w:i w:val="0"/>
          <w:sz w:val="19"/>
        </w:rPr>
        <w:t xml:space="preserve"> ; L2: β</w:t>
      </w:r>
      <w:r>
        <w:rPr>
          <w:rFonts w:ascii="Calibri" w:hAnsi="Calibri"/>
          <w:b w:val="0"/>
          <w:i/>
          <w:sz w:val="19"/>
          <w:vertAlign w:val="subscript"/>
        </w:rPr>
        <w:t>0j</w:t>
      </w:r>
      <w:r>
        <w:rPr>
          <w:rFonts w:ascii="Calibri" w:hAnsi="Calibri"/>
          <w:b w:val="0"/>
          <w:i w:val="0"/>
          <w:sz w:val="19"/>
        </w:rPr>
        <w:t xml:space="preserve"> = γ</w:t>
      </w:r>
      <w:r>
        <w:rPr>
          <w:rFonts w:ascii="Calibri" w:hAnsi="Calibri"/>
          <w:b w:val="0"/>
          <w:i/>
          <w:sz w:val="19"/>
          <w:vertAlign w:val="subscript"/>
        </w:rPr>
        <w:t>00</w:t>
      </w:r>
      <w:r>
        <w:rPr>
          <w:rFonts w:ascii="Calibri" w:hAnsi="Calibri"/>
          <w:b w:val="0"/>
          <w:i w:val="0"/>
          <w:sz w:val="19"/>
        </w:rPr>
        <w:t xml:space="preserve"> + U</w:t>
      </w:r>
      <w:r>
        <w:rPr>
          <w:rFonts w:ascii="Calibri" w:hAnsi="Calibri"/>
          <w:b w:val="0"/>
          <w:i/>
          <w:sz w:val="19"/>
          <w:vertAlign w:val="subscript"/>
        </w:rPr>
        <w:t>0j</w:t>
      </w:r>
    </w:p>
    <w:p>
      <w:pPr>
        <w:spacing w:line="240" w:lineRule="auto" w:before="0" w:after="0"/>
        <w:ind w:left="374" w:hanging="374"/>
      </w:pPr>
      <w:r>
        <w:rPr>
          <w:rFonts w:ascii="Calibri" w:hAnsi="Calibri"/>
          <w:b w:val="0"/>
          <w:i w:val="0"/>
          <w:sz w:val="19"/>
        </w:rPr>
        <w:t>Model 1 (+ level-1 predictor, random slope). L1: logit(P(stay</w:t>
      </w:r>
      <w:r>
        <w:rPr>
          <w:rFonts w:ascii="Calibri" w:hAnsi="Calibri"/>
          <w:b w:val="0"/>
          <w:i/>
          <w:sz w:val="19"/>
          <w:vertAlign w:val="subscript"/>
        </w:rPr>
        <w:t>ij</w:t>
      </w:r>
      <w:r>
        <w:rPr>
          <w:rFonts w:ascii="Calibri" w:hAnsi="Calibri"/>
          <w:b w:val="0"/>
          <w:i w:val="0"/>
          <w:sz w:val="19"/>
        </w:rPr>
        <w:t>)) = β</w:t>
      </w:r>
      <w:r>
        <w:rPr>
          <w:rFonts w:ascii="Calibri" w:hAnsi="Calibri"/>
          <w:b w:val="0"/>
          <w:i/>
          <w:sz w:val="19"/>
          <w:vertAlign w:val="subscript"/>
        </w:rPr>
        <w:t>0j</w:t>
      </w:r>
      <w:r>
        <w:rPr>
          <w:rFonts w:ascii="Calibri" w:hAnsi="Calibri"/>
          <w:b w:val="0"/>
          <w:i w:val="0"/>
          <w:sz w:val="19"/>
        </w:rPr>
        <w:t xml:space="preserve"> + β</w:t>
      </w:r>
      <w:r>
        <w:rPr>
          <w:rFonts w:ascii="Calibri" w:hAnsi="Calibri"/>
          <w:b w:val="0"/>
          <w:i/>
          <w:sz w:val="19"/>
          <w:vertAlign w:val="subscript"/>
        </w:rPr>
        <w:t>1j</w:t>
      </w:r>
      <w:r>
        <w:rPr>
          <w:rFonts w:ascii="Calibri" w:hAnsi="Calibri"/>
          <w:b w:val="0"/>
          <w:i w:val="0"/>
          <w:sz w:val="19"/>
        </w:rPr>
        <w:t>·reward(t−1)</w:t>
      </w:r>
      <w:r>
        <w:rPr>
          <w:rFonts w:ascii="Calibri" w:hAnsi="Calibri"/>
          <w:b w:val="0"/>
          <w:i/>
          <w:sz w:val="19"/>
          <w:vertAlign w:val="subscript"/>
        </w:rPr>
        <w:t>ij</w:t>
      </w:r>
      <w:r>
        <w:rPr>
          <w:rFonts w:ascii="Calibri" w:hAnsi="Calibri"/>
          <w:b w:val="0"/>
          <w:i w:val="0"/>
          <w:sz w:val="19"/>
        </w:rPr>
        <w:t xml:space="preserve"> ; L2: β</w:t>
      </w:r>
      <w:r>
        <w:rPr>
          <w:rFonts w:ascii="Calibri" w:hAnsi="Calibri"/>
          <w:b w:val="0"/>
          <w:i/>
          <w:sz w:val="19"/>
          <w:vertAlign w:val="subscript"/>
        </w:rPr>
        <w:t>0j</w:t>
      </w:r>
      <w:r>
        <w:rPr>
          <w:rFonts w:ascii="Calibri" w:hAnsi="Calibri"/>
          <w:b w:val="0"/>
          <w:i w:val="0"/>
          <w:sz w:val="19"/>
        </w:rPr>
        <w:t xml:space="preserve"> = γ</w:t>
      </w:r>
      <w:r>
        <w:rPr>
          <w:rFonts w:ascii="Calibri" w:hAnsi="Calibri"/>
          <w:b w:val="0"/>
          <w:i/>
          <w:sz w:val="19"/>
          <w:vertAlign w:val="subscript"/>
        </w:rPr>
        <w:t>00</w:t>
      </w:r>
      <w:r>
        <w:rPr>
          <w:rFonts w:ascii="Calibri" w:hAnsi="Calibri"/>
          <w:b w:val="0"/>
          <w:i w:val="0"/>
          <w:sz w:val="19"/>
        </w:rPr>
        <w:t xml:space="preserve"> + U</w:t>
      </w:r>
      <w:r>
        <w:rPr>
          <w:rFonts w:ascii="Calibri" w:hAnsi="Calibri"/>
          <w:b w:val="0"/>
          <w:i/>
          <w:sz w:val="19"/>
          <w:vertAlign w:val="subscript"/>
        </w:rPr>
        <w:t>0j</w:t>
      </w:r>
      <w:r>
        <w:rPr>
          <w:rFonts w:ascii="Calibri" w:hAnsi="Calibri"/>
          <w:b w:val="0"/>
          <w:i w:val="0"/>
          <w:sz w:val="19"/>
        </w:rPr>
        <w:t xml:space="preserve"> , β</w:t>
      </w:r>
      <w:r>
        <w:rPr>
          <w:rFonts w:ascii="Calibri" w:hAnsi="Calibri"/>
          <w:b w:val="0"/>
          <w:i/>
          <w:sz w:val="19"/>
          <w:vertAlign w:val="subscript"/>
        </w:rPr>
        <w:t>1j</w:t>
      </w:r>
      <w:r>
        <w:rPr>
          <w:rFonts w:ascii="Calibri" w:hAnsi="Calibri"/>
          <w:b w:val="0"/>
          <w:i w:val="0"/>
          <w:sz w:val="19"/>
        </w:rPr>
        <w:t xml:space="preserve"> = γ</w:t>
      </w:r>
      <w:r>
        <w:rPr>
          <w:rFonts w:ascii="Calibri" w:hAnsi="Calibri"/>
          <w:b w:val="0"/>
          <w:i/>
          <w:sz w:val="19"/>
          <w:vertAlign w:val="subscript"/>
        </w:rPr>
        <w:t>10</w:t>
      </w:r>
      <w:r>
        <w:rPr>
          <w:rFonts w:ascii="Calibri" w:hAnsi="Calibri"/>
          <w:b w:val="0"/>
          <w:i w:val="0"/>
          <w:sz w:val="19"/>
        </w:rPr>
        <w:t xml:space="preserve"> + U</w:t>
      </w:r>
      <w:r>
        <w:rPr>
          <w:rFonts w:ascii="Calibri" w:hAnsi="Calibri"/>
          <w:b w:val="0"/>
          <w:i/>
          <w:sz w:val="19"/>
          <w:vertAlign w:val="subscript"/>
        </w:rPr>
        <w:t>1j</w:t>
      </w:r>
    </w:p>
    <w:p>
      <w:pPr>
        <w:spacing w:line="240" w:lineRule="auto" w:before="0" w:after="0"/>
        <w:ind w:left="374" w:hanging="374"/>
      </w:pPr>
      <w:r>
        <w:rPr>
          <w:rFonts w:ascii="Calibri" w:hAnsi="Calibri"/>
          <w:b w:val="0"/>
          <w:i w:val="0"/>
          <w:sz w:val="19"/>
        </w:rPr>
        <w:t>Model 2 (+ level-2 main effect). L2: β</w:t>
      </w:r>
      <w:r>
        <w:rPr>
          <w:rFonts w:ascii="Calibri" w:hAnsi="Calibri"/>
          <w:b w:val="0"/>
          <w:i/>
          <w:sz w:val="19"/>
          <w:vertAlign w:val="subscript"/>
        </w:rPr>
        <w:t>0j</w:t>
      </w:r>
      <w:r>
        <w:rPr>
          <w:rFonts w:ascii="Calibri" w:hAnsi="Calibri"/>
          <w:b w:val="0"/>
          <w:i w:val="0"/>
          <w:sz w:val="19"/>
        </w:rPr>
        <w:t xml:space="preserve"> = γ</w:t>
      </w:r>
      <w:r>
        <w:rPr>
          <w:rFonts w:ascii="Calibri" w:hAnsi="Calibri"/>
          <w:b w:val="0"/>
          <w:i/>
          <w:sz w:val="19"/>
          <w:vertAlign w:val="subscript"/>
        </w:rPr>
        <w:t>00</w:t>
      </w:r>
      <w:r>
        <w:rPr>
          <w:rFonts w:ascii="Calibri" w:hAnsi="Calibri"/>
          <w:b w:val="0"/>
          <w:i w:val="0"/>
          <w:sz w:val="19"/>
        </w:rPr>
        <w:t xml:space="preserve"> + γ</w:t>
      </w:r>
      <w:r>
        <w:rPr>
          <w:rFonts w:ascii="Calibri" w:hAnsi="Calibri"/>
          <w:b w:val="0"/>
          <w:i/>
          <w:sz w:val="19"/>
          <w:vertAlign w:val="subscript"/>
        </w:rPr>
        <w:t>01</w:t>
      </w:r>
      <w:r>
        <w:rPr>
          <w:rFonts w:ascii="Calibri" w:hAnsi="Calibri"/>
          <w:b w:val="0"/>
          <w:i w:val="0"/>
          <w:sz w:val="19"/>
        </w:rPr>
        <w:t>·K</w:t>
      </w:r>
      <w:r>
        <w:rPr>
          <w:rFonts w:ascii="Calibri" w:hAnsi="Calibri"/>
          <w:b w:val="0"/>
          <w:i/>
          <w:sz w:val="19"/>
          <w:vertAlign w:val="subscript"/>
        </w:rPr>
        <w:t>cj</w:t>
      </w:r>
      <w:r>
        <w:rPr>
          <w:rFonts w:ascii="Calibri" w:hAnsi="Calibri"/>
          <w:b w:val="0"/>
          <w:i w:val="0"/>
          <w:sz w:val="19"/>
        </w:rPr>
        <w:t xml:space="preserve"> + U</w:t>
      </w:r>
      <w:r>
        <w:rPr>
          <w:rFonts w:ascii="Calibri" w:hAnsi="Calibri"/>
          <w:b w:val="0"/>
          <w:i/>
          <w:sz w:val="19"/>
          <w:vertAlign w:val="subscript"/>
        </w:rPr>
        <w:t>0j</w:t>
      </w:r>
      <w:r>
        <w:rPr>
          <w:rFonts w:ascii="Calibri" w:hAnsi="Calibri"/>
          <w:b w:val="0"/>
          <w:i w:val="0"/>
          <w:sz w:val="19"/>
        </w:rPr>
        <w:t xml:space="preserve"> , β</w:t>
      </w:r>
      <w:r>
        <w:rPr>
          <w:rFonts w:ascii="Calibri" w:hAnsi="Calibri"/>
          <w:b w:val="0"/>
          <w:i/>
          <w:sz w:val="19"/>
          <w:vertAlign w:val="subscript"/>
        </w:rPr>
        <w:t>1j</w:t>
      </w:r>
      <w:r>
        <w:rPr>
          <w:rFonts w:ascii="Calibri" w:hAnsi="Calibri"/>
          <w:b w:val="0"/>
          <w:i w:val="0"/>
          <w:sz w:val="19"/>
        </w:rPr>
        <w:t xml:space="preserve"> = γ</w:t>
      </w:r>
      <w:r>
        <w:rPr>
          <w:rFonts w:ascii="Calibri" w:hAnsi="Calibri"/>
          <w:b w:val="0"/>
          <w:i/>
          <w:sz w:val="19"/>
          <w:vertAlign w:val="subscript"/>
        </w:rPr>
        <w:t>10</w:t>
      </w:r>
      <w:r>
        <w:rPr>
          <w:rFonts w:ascii="Calibri" w:hAnsi="Calibri"/>
          <w:b w:val="0"/>
          <w:i w:val="0"/>
          <w:sz w:val="19"/>
        </w:rPr>
        <w:t xml:space="preserve"> + U</w:t>
      </w:r>
      <w:r>
        <w:rPr>
          <w:rFonts w:ascii="Calibri" w:hAnsi="Calibri"/>
          <w:b w:val="0"/>
          <w:i/>
          <w:sz w:val="19"/>
          <w:vertAlign w:val="subscript"/>
        </w:rPr>
        <w:t>1j</w:t>
      </w:r>
    </w:p>
    <w:p>
      <w:pPr>
        <w:spacing w:line="240" w:lineRule="auto" w:before="0" w:after="0"/>
        <w:ind w:left="374" w:hanging="374"/>
      </w:pPr>
      <w:r>
        <w:rPr>
          <w:rFonts w:ascii="Calibri" w:hAnsi="Calibri"/>
          <w:b w:val="0"/>
          <w:i w:val="0"/>
          <w:sz w:val="19"/>
        </w:rPr>
        <w:t>Model 3 (+ cross-level interaction). L2: β</w:t>
      </w:r>
      <w:r>
        <w:rPr>
          <w:rFonts w:ascii="Calibri" w:hAnsi="Calibri"/>
          <w:b w:val="0"/>
          <w:i/>
          <w:sz w:val="19"/>
          <w:vertAlign w:val="subscript"/>
        </w:rPr>
        <w:t>0j</w:t>
      </w:r>
      <w:r>
        <w:rPr>
          <w:rFonts w:ascii="Calibri" w:hAnsi="Calibri"/>
          <w:b w:val="0"/>
          <w:i w:val="0"/>
          <w:sz w:val="19"/>
        </w:rPr>
        <w:t xml:space="preserve"> = γ</w:t>
      </w:r>
      <w:r>
        <w:rPr>
          <w:rFonts w:ascii="Calibri" w:hAnsi="Calibri"/>
          <w:b w:val="0"/>
          <w:i/>
          <w:sz w:val="19"/>
          <w:vertAlign w:val="subscript"/>
        </w:rPr>
        <w:t>00</w:t>
      </w:r>
      <w:r>
        <w:rPr>
          <w:rFonts w:ascii="Calibri" w:hAnsi="Calibri"/>
          <w:b w:val="0"/>
          <w:i w:val="0"/>
          <w:sz w:val="19"/>
        </w:rPr>
        <w:t xml:space="preserve"> + γ</w:t>
      </w:r>
      <w:r>
        <w:rPr>
          <w:rFonts w:ascii="Calibri" w:hAnsi="Calibri"/>
          <w:b w:val="0"/>
          <w:i/>
          <w:sz w:val="19"/>
          <w:vertAlign w:val="subscript"/>
        </w:rPr>
        <w:t>01</w:t>
      </w:r>
      <w:r>
        <w:rPr>
          <w:rFonts w:ascii="Calibri" w:hAnsi="Calibri"/>
          <w:b w:val="0"/>
          <w:i w:val="0"/>
          <w:sz w:val="19"/>
        </w:rPr>
        <w:t>·K</w:t>
      </w:r>
      <w:r>
        <w:rPr>
          <w:rFonts w:ascii="Calibri" w:hAnsi="Calibri"/>
          <w:b w:val="0"/>
          <w:i/>
          <w:sz w:val="19"/>
          <w:vertAlign w:val="subscript"/>
        </w:rPr>
        <w:t>cj</w:t>
      </w:r>
      <w:r>
        <w:rPr>
          <w:rFonts w:ascii="Calibri" w:hAnsi="Calibri"/>
          <w:b w:val="0"/>
          <w:i w:val="0"/>
          <w:sz w:val="19"/>
        </w:rPr>
        <w:t xml:space="preserve"> + U</w:t>
      </w:r>
      <w:r>
        <w:rPr>
          <w:rFonts w:ascii="Calibri" w:hAnsi="Calibri"/>
          <w:b w:val="0"/>
          <w:i/>
          <w:sz w:val="19"/>
          <w:vertAlign w:val="subscript"/>
        </w:rPr>
        <w:t>0j</w:t>
      </w:r>
      <w:r>
        <w:rPr>
          <w:rFonts w:ascii="Calibri" w:hAnsi="Calibri"/>
          <w:b w:val="0"/>
          <w:i w:val="0"/>
          <w:sz w:val="19"/>
        </w:rPr>
        <w:t xml:space="preserve"> , β</w:t>
      </w:r>
      <w:r>
        <w:rPr>
          <w:rFonts w:ascii="Calibri" w:hAnsi="Calibri"/>
          <w:b w:val="0"/>
          <w:i/>
          <w:sz w:val="19"/>
          <w:vertAlign w:val="subscript"/>
        </w:rPr>
        <w:t>1j</w:t>
      </w:r>
      <w:r>
        <w:rPr>
          <w:rFonts w:ascii="Calibri" w:hAnsi="Calibri"/>
          <w:b w:val="0"/>
          <w:i w:val="0"/>
          <w:sz w:val="19"/>
        </w:rPr>
        <w:t xml:space="preserve"> = γ</w:t>
      </w:r>
      <w:r>
        <w:rPr>
          <w:rFonts w:ascii="Calibri" w:hAnsi="Calibri"/>
          <w:b w:val="0"/>
          <w:i/>
          <w:sz w:val="19"/>
          <w:vertAlign w:val="subscript"/>
        </w:rPr>
        <w:t>10</w:t>
      </w:r>
      <w:r>
        <w:rPr>
          <w:rFonts w:ascii="Calibri" w:hAnsi="Calibri"/>
          <w:b w:val="0"/>
          <w:i w:val="0"/>
          <w:sz w:val="19"/>
        </w:rPr>
        <w:t xml:space="preserve"> + γ</w:t>
      </w:r>
      <w:r>
        <w:rPr>
          <w:rFonts w:ascii="Calibri" w:hAnsi="Calibri"/>
          <w:b w:val="0"/>
          <w:i/>
          <w:sz w:val="19"/>
          <w:vertAlign w:val="subscript"/>
        </w:rPr>
        <w:t>11</w:t>
      </w:r>
      <w:r>
        <w:rPr>
          <w:rFonts w:ascii="Calibri" w:hAnsi="Calibri"/>
          <w:b w:val="0"/>
          <w:i w:val="0"/>
          <w:sz w:val="19"/>
        </w:rPr>
        <w:t>·K</w:t>
      </w:r>
      <w:r>
        <w:rPr>
          <w:rFonts w:ascii="Calibri" w:hAnsi="Calibri"/>
          <w:b w:val="0"/>
          <w:i/>
          <w:sz w:val="19"/>
          <w:vertAlign w:val="subscript"/>
        </w:rPr>
        <w:t>cj</w:t>
      </w:r>
      <w:r>
        <w:rPr>
          <w:rFonts w:ascii="Calibri" w:hAnsi="Calibri"/>
          <w:b w:val="0"/>
          <w:i w:val="0"/>
          <w:sz w:val="19"/>
        </w:rPr>
        <w:t xml:space="preserve"> + U</w:t>
      </w:r>
      <w:r>
        <w:rPr>
          <w:rFonts w:ascii="Calibri" w:hAnsi="Calibri"/>
          <w:b w:val="0"/>
          <w:i/>
          <w:sz w:val="19"/>
          <w:vertAlign w:val="subscript"/>
        </w:rPr>
        <w:t>1j</w:t>
      </w:r>
    </w:p>
    <w:p>
      <w:pPr>
        <w:spacing w:line="240" w:lineRule="auto" w:before="0" w:after="60"/>
        <w:ind w:left="374" w:hanging="374"/>
      </w:pPr>
      <w:r>
        <w:rPr>
          <w:rFonts w:ascii="Calibri" w:hAnsi="Calibri"/>
          <w:b w:val="0"/>
          <w:i w:val="0"/>
          <w:sz w:val="19"/>
        </w:rPr>
        <w:t>Composite: logit(P(stay</w:t>
      </w:r>
      <w:r>
        <w:rPr>
          <w:rFonts w:ascii="Calibri" w:hAnsi="Calibri"/>
          <w:b w:val="0"/>
          <w:i/>
          <w:sz w:val="19"/>
          <w:vertAlign w:val="subscript"/>
        </w:rPr>
        <w:t>ij</w:t>
      </w:r>
      <w:r>
        <w:rPr>
          <w:rFonts w:ascii="Calibri" w:hAnsi="Calibri"/>
          <w:b w:val="0"/>
          <w:i w:val="0"/>
          <w:sz w:val="19"/>
        </w:rPr>
        <w:t>)) = (γ</w:t>
      </w:r>
      <w:r>
        <w:rPr>
          <w:rFonts w:ascii="Calibri" w:hAnsi="Calibri"/>
          <w:b w:val="0"/>
          <w:i/>
          <w:sz w:val="19"/>
          <w:vertAlign w:val="subscript"/>
        </w:rPr>
        <w:t>00</w:t>
      </w:r>
      <w:r>
        <w:rPr>
          <w:rFonts w:ascii="Calibri" w:hAnsi="Calibri"/>
          <w:b w:val="0"/>
          <w:i w:val="0"/>
          <w:sz w:val="19"/>
        </w:rPr>
        <w:t xml:space="preserve"> + γ</w:t>
      </w:r>
      <w:r>
        <w:rPr>
          <w:rFonts w:ascii="Calibri" w:hAnsi="Calibri"/>
          <w:b w:val="0"/>
          <w:i/>
          <w:sz w:val="19"/>
          <w:vertAlign w:val="subscript"/>
        </w:rPr>
        <w:t>01</w:t>
      </w:r>
      <w:r>
        <w:rPr>
          <w:rFonts w:ascii="Calibri" w:hAnsi="Calibri"/>
          <w:b w:val="0"/>
          <w:i w:val="0"/>
          <w:sz w:val="19"/>
        </w:rPr>
        <w:t>·K</w:t>
      </w:r>
      <w:r>
        <w:rPr>
          <w:rFonts w:ascii="Calibri" w:hAnsi="Calibri"/>
          <w:b w:val="0"/>
          <w:i/>
          <w:sz w:val="19"/>
          <w:vertAlign w:val="subscript"/>
        </w:rPr>
        <w:t>cj</w:t>
      </w:r>
      <w:r>
        <w:rPr>
          <w:rFonts w:ascii="Calibri" w:hAnsi="Calibri"/>
          <w:b w:val="0"/>
          <w:i w:val="0"/>
          <w:sz w:val="19"/>
        </w:rPr>
        <w:t xml:space="preserve"> + U</w:t>
      </w:r>
      <w:r>
        <w:rPr>
          <w:rFonts w:ascii="Calibri" w:hAnsi="Calibri"/>
          <w:b w:val="0"/>
          <w:i/>
          <w:sz w:val="19"/>
          <w:vertAlign w:val="subscript"/>
        </w:rPr>
        <w:t>0j</w:t>
      </w:r>
      <w:r>
        <w:rPr>
          <w:rFonts w:ascii="Calibri" w:hAnsi="Calibri"/>
          <w:b w:val="0"/>
          <w:i w:val="0"/>
          <w:sz w:val="19"/>
        </w:rPr>
        <w:t>) + (γ</w:t>
      </w:r>
      <w:r>
        <w:rPr>
          <w:rFonts w:ascii="Calibri" w:hAnsi="Calibri"/>
          <w:b w:val="0"/>
          <w:i/>
          <w:sz w:val="19"/>
          <w:vertAlign w:val="subscript"/>
        </w:rPr>
        <w:t>10</w:t>
      </w:r>
      <w:r>
        <w:rPr>
          <w:rFonts w:ascii="Calibri" w:hAnsi="Calibri"/>
          <w:b w:val="0"/>
          <w:i w:val="0"/>
          <w:sz w:val="19"/>
        </w:rPr>
        <w:t xml:space="preserve"> + γ</w:t>
      </w:r>
      <w:r>
        <w:rPr>
          <w:rFonts w:ascii="Calibri" w:hAnsi="Calibri"/>
          <w:b w:val="0"/>
          <w:i/>
          <w:sz w:val="19"/>
          <w:vertAlign w:val="subscript"/>
        </w:rPr>
        <w:t>11</w:t>
      </w:r>
      <w:r>
        <w:rPr>
          <w:rFonts w:ascii="Calibri" w:hAnsi="Calibri"/>
          <w:b w:val="0"/>
          <w:i w:val="0"/>
          <w:sz w:val="19"/>
        </w:rPr>
        <w:t>·K</w:t>
      </w:r>
      <w:r>
        <w:rPr>
          <w:rFonts w:ascii="Calibri" w:hAnsi="Calibri"/>
          <w:b w:val="0"/>
          <w:i/>
          <w:sz w:val="19"/>
          <w:vertAlign w:val="subscript"/>
        </w:rPr>
        <w:t>cj</w:t>
      </w:r>
      <w:r>
        <w:rPr>
          <w:rFonts w:ascii="Calibri" w:hAnsi="Calibri"/>
          <w:b w:val="0"/>
          <w:i w:val="0"/>
          <w:sz w:val="19"/>
        </w:rPr>
        <w:t xml:space="preserve"> + U</w:t>
      </w:r>
      <w:r>
        <w:rPr>
          <w:rFonts w:ascii="Calibri" w:hAnsi="Calibri"/>
          <w:b w:val="0"/>
          <w:i/>
          <w:sz w:val="19"/>
          <w:vertAlign w:val="subscript"/>
        </w:rPr>
        <w:t>1j</w:t>
      </w:r>
      <w:r>
        <w:rPr>
          <w:rFonts w:ascii="Calibri" w:hAnsi="Calibri"/>
          <w:b w:val="0"/>
          <w:i w:val="0"/>
          <w:sz w:val="19"/>
        </w:rPr>
        <w:t>)·reward(t−1)</w:t>
      </w:r>
      <w:r>
        <w:rPr>
          <w:rFonts w:ascii="Calibri" w:hAnsi="Calibri"/>
          <w:b w:val="0"/>
          <w:i/>
          <w:sz w:val="19"/>
          <w:vertAlign w:val="subscript"/>
        </w:rPr>
        <w:t>ij</w:t>
      </w:r>
    </w:p>
    <w:p>
      <w:pPr>
        <w:spacing w:line="360" w:lineRule="auto" w:before="0" w:after="40"/>
        <w:ind w:firstLine="317"/>
      </w:pPr>
      <w:r>
        <w:rPr>
          <w:rFonts w:ascii="Calibri" w:hAnsi="Calibri"/>
          <w:b w:val="0"/>
          <w:i w:val="0"/>
          <w:sz w:val="22"/>
        </w:rPr>
        <w:t>γ</w:t>
      </w:r>
      <w:r>
        <w:rPr>
          <w:rFonts w:ascii="Calibri" w:hAnsi="Calibri"/>
          <w:b w:val="0"/>
          <w:i/>
          <w:sz w:val="22"/>
          <w:vertAlign w:val="subscript"/>
        </w:rPr>
        <w:t>11</w:t>
      </w:r>
      <w:r>
        <w:rPr>
          <w:rFonts w:ascii="Calibri" w:hAnsi="Calibri"/>
          <w:b w:val="0"/>
          <w:i w:val="0"/>
          <w:sz w:val="22"/>
        </w:rPr>
        <w:t xml:space="preserve"> answers the research question: the change in the within-person reward slope per unit of K. The level-1 slope entering the interaction stays random throughout, since omitting it inflates evidence for cross-level interactions (Barr et al., 2013; Heisig &amp; Schaeffer, 2019).</w:t>
      </w:r>
    </w:p>
    <w:p>
      <w:pPr>
        <w:spacing w:line="360" w:lineRule="auto" w:before="0" w:after="0"/>
        <w:ind w:firstLine="317"/>
      </w:pPr>
      <w:r>
        <w:rPr>
          <w:rFonts w:ascii="Calibri" w:hAnsi="Calibri"/>
          <w:b w:val="0"/>
          <w:i w:val="0"/>
          <w:sz w:val="22"/>
        </w:rPr>
        <w:t xml:space="preserve">Fitting used </w:t>
      </w:r>
      <w:r>
        <w:rPr>
          <w:rFonts w:ascii="Calibri" w:hAnsi="Calibri"/>
          <w:b w:val="0"/>
          <w:i/>
          <w:sz w:val="22"/>
        </w:rPr>
        <w:t>brms</w:t>
      </w:r>
      <w:r>
        <w:rPr>
          <w:rFonts w:ascii="Calibri" w:hAnsi="Calibri"/>
          <w:b w:val="0"/>
          <w:i w:val="0"/>
          <w:sz w:val="22"/>
        </w:rPr>
        <w:t xml:space="preserve"> (Bürkner, 2017) with rstan, 4 chains × 3,500 iterations (1,000 warm-up), and weakly informative priors — normal(0, 1.5) on fixed effects, student_t(3, 0, 2.5) on the intercept and random-effect SDs, LKJ(2) on their correlation — rather than brms’ improper flat default. A fallback to random intercepts only was planned should the maximal structure fail (any divergent transition, or R̂ ≥ 1.01); none did, and bulk ESS ≥ 948 in Models 1–3. Posterior medians with 95% credible intervals are reported, plus the probability of direction (pd; Makowski et al., 2019).</w:t>
      </w:r>
    </w:p>
    <w:p>
      <w:pPr>
        <w:pStyle w:val="Heading2"/>
      </w:pPr>
      <w:r>
        <w:rPr>
          <w:rFonts w:ascii="Calibri" w:hAnsi="Calibri"/>
        </w:rPr>
        <w:t>Unconditional model, comparison, and effect sizes</w:t>
      </w:r>
    </w:p>
    <w:p>
      <w:pPr>
        <w:spacing w:line="360" w:lineRule="auto" w:before="0" w:after="0"/>
        <w:ind w:firstLine="317"/>
      </w:pPr>
      <w:r>
        <w:rPr>
          <w:rFonts w:ascii="Calibri" w:hAnsi="Calibri"/>
          <w:b w:val="0"/>
          <w:i w:val="0"/>
          <w:sz w:val="22"/>
        </w:rPr>
        <w:t>In Model 0, γ</w:t>
      </w:r>
      <w:r>
        <w:rPr>
          <w:rFonts w:ascii="Calibri" w:hAnsi="Calibri"/>
          <w:b w:val="0"/>
          <w:i/>
          <w:sz w:val="22"/>
          <w:vertAlign w:val="subscript"/>
        </w:rPr>
        <w:t>00</w:t>
      </w:r>
      <w:r>
        <w:rPr>
          <w:rFonts w:ascii="Calibri" w:hAnsi="Calibri"/>
          <w:b w:val="0"/>
          <w:i w:val="0"/>
          <w:sz w:val="22"/>
        </w:rPr>
        <w:t xml:space="preserve"> = −0.60 [−0.92, −0.28]; averaging per-trial predictions gives P(stay) = .378, the observed rate (plogis(γ</w:t>
      </w:r>
      <w:r>
        <w:rPr>
          <w:rFonts w:ascii="Calibri" w:hAnsi="Calibri"/>
          <w:b w:val="0"/>
          <w:i/>
          <w:sz w:val="22"/>
          <w:vertAlign w:val="subscript"/>
        </w:rPr>
        <w:t>00</w:t>
      </w:r>
      <w:r>
        <w:rPr>
          <w:rFonts w:ascii="Calibri" w:hAnsi="Calibri"/>
          <w:b w:val="0"/>
          <w:i w:val="0"/>
          <w:sz w:val="22"/>
        </w:rPr>
        <w:t>) = .354 is a generalised, not an average, probability), barely above the .333 expected under indifference among three machines. Between-person variance was substantial (√τ</w:t>
      </w:r>
      <w:r>
        <w:rPr>
          <w:rFonts w:ascii="Calibri" w:hAnsi="Calibri"/>
          <w:b w:val="0"/>
          <w:i/>
          <w:sz w:val="22"/>
          <w:vertAlign w:val="subscript"/>
        </w:rPr>
        <w:t>00</w:t>
      </w:r>
      <w:r>
        <w:rPr>
          <w:rFonts w:ascii="Calibri" w:hAnsi="Calibri"/>
          <w:b w:val="0"/>
          <w:i w:val="0"/>
          <w:sz w:val="22"/>
        </w:rPr>
        <w:t xml:space="preserve"> = 0.98 [0.76, 1.29]), giving an unconditional ICC of .222 [.148, .335]: about 22% of the variance in the latent propensity to stay is between persons, the rest trial-to-trial within a person.</w:t>
      </w:r>
    </w:p>
    <w:p>
      <w:pPr>
        <w:spacing w:line="360" w:lineRule="auto" w:before="0" w:after="0"/>
        <w:ind w:firstLine="317"/>
      </w:pPr>
      <w:r>
        <w:rPr>
          <w:rFonts w:ascii="Calibri" w:hAnsi="Calibri"/>
          <w:b w:val="0"/>
          <w:i w:val="0"/>
          <w:sz w:val="22"/>
        </w:rPr>
        <w:t>Model 1 beat the same fixed effects with random intercepts only by a wide margin in approximate leave-one-out cross-validation (Vehtari et al., 2017; ΔELPD = 264.8, SE = 21.2): people differ a great deal in how strongly reward drives them — the heterogeneity a cross-level interaction sets out to explain. Adding K as a level-2 main effect (Model 1 → 2), then as a moderator of the reward slope (Model 2 → 3), brought no predictive gain (ΔELPD = 0.3, SE = 0.2, and 0.1, SE = 0.4). Marginal Bayes R² rose from .049 to .061 to .068 while conditional R² stayed at .275: nearly all explained variance sits in the random effects, the same message the ICC gives.</w:t>
      </w:r>
    </w:p>
    <w:p>
      <w:pPr>
        <w:spacing w:line="360" w:lineRule="auto" w:before="0" w:after="0"/>
        <w:ind w:firstLine="317"/>
      </w:pPr>
      <w:r>
        <w:rPr>
          <w:rFonts w:ascii="Calibri" w:hAnsi="Calibri"/>
          <w:b w:val="0"/>
          <w:i w:val="0"/>
          <w:sz w:val="22"/>
        </w:rPr>
        <w:t>The effect size specific to each addition is the pseudo-R² for the variance component it targets: K reduced between-person intercept variance τ</w:t>
      </w:r>
      <w:r>
        <w:rPr>
          <w:rFonts w:ascii="Calibri" w:hAnsi="Calibri"/>
          <w:b w:val="0"/>
          <w:i/>
          <w:sz w:val="22"/>
          <w:vertAlign w:val="subscript"/>
        </w:rPr>
        <w:t>00</w:t>
      </w:r>
      <w:r>
        <w:rPr>
          <w:rFonts w:ascii="Calibri" w:hAnsi="Calibri"/>
          <w:b w:val="0"/>
          <w:i w:val="0"/>
          <w:sz w:val="22"/>
        </w:rPr>
        <w:t xml:space="preserve"> by 2.7%, and the interaction reduced variance in the slope it moderates, τ</w:t>
      </w:r>
      <w:r>
        <w:rPr>
          <w:rFonts w:ascii="Calibri" w:hAnsi="Calibri"/>
          <w:b w:val="0"/>
          <w:i/>
          <w:sz w:val="22"/>
          <w:vertAlign w:val="subscript"/>
        </w:rPr>
        <w:t>11</w:t>
      </w:r>
      <w:r>
        <w:rPr>
          <w:rFonts w:ascii="Calibri" w:hAnsi="Calibri"/>
          <w:b w:val="0"/>
          <w:i w:val="0"/>
          <w:sz w:val="22"/>
        </w:rPr>
        <w:t>, by 2.8%. As pseudo-standardised coefficients the within-person reward effect was β = 0.26 [0.09, 0.43] and the between-person effect of K β = 0.34 [−0.14, 0.84] — nominally larger yet far less certain, resting on 35 observations rather than 5,025.</w:t>
      </w:r>
    </w:p>
    <w:p>
      <w:pPr>
        <w:pStyle w:val="Heading2"/>
      </w:pPr>
      <w:r>
        <w:rPr>
          <w:rFonts w:ascii="Calibri" w:hAnsi="Calibri"/>
        </w:rPr>
        <w:t>Parameters, follow-up analyses, and robustness</w:t>
      </w:r>
    </w:p>
    <w:p>
      <w:pPr>
        <w:spacing w:line="360" w:lineRule="auto" w:before="0" w:after="0"/>
        <w:ind w:firstLine="317"/>
      </w:pPr>
      <w:r>
        <w:rPr>
          <w:rFonts w:ascii="Calibri" w:hAnsi="Calibri"/>
          <w:b w:val="0"/>
          <w:i w:val="0"/>
          <w:sz w:val="22"/>
        </w:rPr>
        <w:t>At average capacity the odds of repeating after an unrewarded trial were γ</w:t>
      </w:r>
      <w:r>
        <w:rPr>
          <w:rFonts w:ascii="Calibri" w:hAnsi="Calibri"/>
          <w:b w:val="0"/>
          <w:i/>
          <w:sz w:val="22"/>
          <w:vertAlign w:val="subscript"/>
        </w:rPr>
        <w:t>00</w:t>
      </w:r>
      <w:r>
        <w:rPr>
          <w:rFonts w:ascii="Calibri" w:hAnsi="Calibri"/>
          <w:b w:val="0"/>
          <w:i w:val="0"/>
          <w:sz w:val="22"/>
        </w:rPr>
        <w:t xml:space="preserve"> = −1.10 [−1.58, −0.62], OR = 0.33 [0.21, 0.54], i.e. P(stay) = .25; reward multiplied them by OR = 2.57 [1.37, 4.83] (γ</w:t>
      </w:r>
      <w:r>
        <w:rPr>
          <w:rFonts w:ascii="Calibri" w:hAnsi="Calibri"/>
          <w:b w:val="0"/>
          <w:i/>
          <w:sz w:val="22"/>
          <w:vertAlign w:val="subscript"/>
        </w:rPr>
        <w:t>10</w:t>
      </w:r>
      <w:r>
        <w:rPr>
          <w:rFonts w:ascii="Calibri" w:hAnsi="Calibri"/>
          <w:b w:val="0"/>
          <w:i w:val="0"/>
          <w:sz w:val="22"/>
        </w:rPr>
        <w:t xml:space="preserve"> = 0.95, pd = .997) — the WSLS effect at trial level. The main effect of K was positive but not credible (γ</w:t>
      </w:r>
      <w:r>
        <w:rPr>
          <w:rFonts w:ascii="Calibri" w:hAnsi="Calibri"/>
          <w:b w:val="0"/>
          <w:i/>
          <w:sz w:val="22"/>
          <w:vertAlign w:val="subscript"/>
        </w:rPr>
        <w:t>01</w:t>
      </w:r>
      <w:r>
        <w:rPr>
          <w:rFonts w:ascii="Calibri" w:hAnsi="Calibri"/>
          <w:b w:val="0"/>
          <w:i w:val="0"/>
          <w:sz w:val="22"/>
        </w:rPr>
        <w:t xml:space="preserve"> = 0.29 [−0.12, 0.69], pd = .919). The cross-level interaction was negative as predicted (γ</w:t>
      </w:r>
      <w:r>
        <w:rPr>
          <w:rFonts w:ascii="Calibri" w:hAnsi="Calibri"/>
          <w:b w:val="0"/>
          <w:i/>
          <w:sz w:val="22"/>
          <w:vertAlign w:val="subscript"/>
        </w:rPr>
        <w:t>11</w:t>
      </w:r>
      <w:r>
        <w:rPr>
          <w:rFonts w:ascii="Calibri" w:hAnsi="Calibri"/>
          <w:b w:val="0"/>
          <w:i w:val="0"/>
          <w:sz w:val="22"/>
        </w:rPr>
        <w:t xml:space="preserve"> = −0.40 [−0.92, 0.12], OR = 0.67 [0.40, 1.12], pd = .937): each unit of K multiplies the reward odds ratio by 0.67, with 94% of the posterior below zero but the interval still including it.</w:t>
      </w:r>
    </w:p>
    <w:p>
      <w:pPr>
        <w:spacing w:line="360" w:lineRule="auto" w:before="0" w:after="0"/>
        <w:ind w:firstLine="317"/>
      </w:pPr>
      <w:r>
        <w:rPr>
          <w:rFonts w:ascii="Calibri" w:hAnsi="Calibri"/>
          <w:b w:val="0"/>
          <w:i w:val="0"/>
          <w:sz w:val="22"/>
        </w:rPr>
        <w:t>Between-person variability was large in both the baseline tendency to stay (√τ</w:t>
      </w:r>
      <w:r>
        <w:rPr>
          <w:rFonts w:ascii="Calibri" w:hAnsi="Calibri"/>
          <w:b w:val="0"/>
          <w:i/>
          <w:sz w:val="22"/>
          <w:vertAlign w:val="subscript"/>
        </w:rPr>
        <w:t>00</w:t>
      </w:r>
      <w:r>
        <w:rPr>
          <w:rFonts w:ascii="Calibri" w:hAnsi="Calibri"/>
          <w:b w:val="0"/>
          <w:i w:val="0"/>
          <w:sz w:val="22"/>
        </w:rPr>
        <w:t xml:space="preserve"> = 1.34) and the reward slope (√τ</w:t>
      </w:r>
      <w:r>
        <w:rPr>
          <w:rFonts w:ascii="Calibri" w:hAnsi="Calibri"/>
          <w:b w:val="0"/>
          <w:i/>
          <w:sz w:val="22"/>
          <w:vertAlign w:val="subscript"/>
        </w:rPr>
        <w:t>11</w:t>
      </w:r>
      <w:r>
        <w:rPr>
          <w:rFonts w:ascii="Calibri" w:hAnsi="Calibri"/>
          <w:b w:val="0"/>
          <w:i w:val="0"/>
          <w:sz w:val="22"/>
        </w:rPr>
        <w:t xml:space="preserve"> = 1.78; Table 1), the latter wide enough that a population slope of 0.95 hides participants with no reward effect alongside others with a very large one. The two correlated negatively (r(U</w:t>
      </w:r>
      <w:r>
        <w:rPr>
          <w:rFonts w:ascii="Calibri" w:hAnsi="Calibri"/>
          <w:b w:val="0"/>
          <w:i/>
          <w:sz w:val="22"/>
          <w:vertAlign w:val="subscript"/>
        </w:rPr>
        <w:t>0j</w:t>
      </w:r>
      <w:r>
        <w:rPr>
          <w:rFonts w:ascii="Calibri" w:hAnsi="Calibri"/>
          <w:b w:val="0"/>
          <w:i w:val="0"/>
          <w:sz w:val="22"/>
        </w:rPr>
        <w:t>, U</w:t>
      </w:r>
      <w:r>
        <w:rPr>
          <w:rFonts w:ascii="Calibri" w:hAnsi="Calibri"/>
          <w:b w:val="0"/>
          <w:i/>
          <w:sz w:val="22"/>
          <w:vertAlign w:val="subscript"/>
        </w:rPr>
        <w:t>1j</w:t>
      </w:r>
      <w:r>
        <w:rPr>
          <w:rFonts w:ascii="Calibri" w:hAnsi="Calibri"/>
          <w:b w:val="0"/>
          <w:i w:val="0"/>
          <w:sz w:val="22"/>
        </w:rPr>
        <w:t>) = −0.46 [−0.71, −0.14]), so those who repeated more after losses gained less from reward, as a ceiling on P(stay) would produce.</w:t>
      </w:r>
    </w:p>
    <w:tbl>
      <w:tblPr>
        <w:tblW w:type="auto" w:w="0"/>
        <w:jc w:val="center"/>
        <w:tblLayout w:type="fixed"/>
        <w:tblLook w:firstColumn="1" w:firstRow="1" w:lastColumn="0" w:lastRow="0" w:noHBand="0" w:noVBand="1" w:val="04A0"/>
      </w:tblPr>
      <w:tblGrid>
        <w:gridCol w:w="1805"/>
        <w:gridCol w:w="1805"/>
        <w:gridCol w:w="1805"/>
        <w:gridCol w:w="1805"/>
        <w:gridCol w:w="1805"/>
      </w:tblGrid>
      <w:tr>
        <w:tc>
          <w:tcPr>
            <w:tcW w:type="dxa" w:w="2232"/>
            <w:tcBorders>
              <w:top w:val="single" w:sz="8" w:color="000000"/>
              <w:bottom w:val="single" w:sz="6" w:color="000000"/>
            </w:tcBorders>
          </w:tcPr>
          <w:p>
            <w:pPr>
              <w:spacing w:line="240" w:lineRule="auto" w:after="0" w:before="0"/>
            </w:pPr>
            <w:r/>
            <w:r>
              <w:rPr>
                <w:rFonts w:ascii="Calibri" w:hAnsi="Calibri"/>
                <w:b/>
                <w:i w:val="0"/>
                <w:sz w:val="15"/>
              </w:rPr>
              <w:t>Parameter</w:t>
            </w:r>
          </w:p>
        </w:tc>
        <w:tc>
          <w:tcPr>
            <w:tcW w:type="dxa" w:w="1872"/>
            <w:tcBorders>
              <w:top w:val="single" w:sz="8" w:color="000000"/>
              <w:bottom w:val="single" w:sz="6" w:color="000000"/>
            </w:tcBorders>
          </w:tcPr>
          <w:p>
            <w:pPr>
              <w:spacing w:line="240" w:lineRule="auto" w:after="0" w:before="0"/>
              <w:jc w:val="center"/>
            </w:pPr>
            <w:r/>
            <w:r>
              <w:rPr>
                <w:rFonts w:ascii="Calibri" w:hAnsi="Calibri"/>
                <w:b/>
                <w:i w:val="0"/>
                <w:sz w:val="15"/>
              </w:rPr>
              <w:t>Model 1</w:t>
            </w:r>
          </w:p>
        </w:tc>
        <w:tc>
          <w:tcPr>
            <w:tcW w:type="dxa" w:w="1872"/>
            <w:tcBorders>
              <w:top w:val="single" w:sz="8" w:color="000000"/>
              <w:bottom w:val="single" w:sz="6" w:color="000000"/>
            </w:tcBorders>
          </w:tcPr>
          <w:p>
            <w:pPr>
              <w:spacing w:line="240" w:lineRule="auto" w:after="0" w:before="0"/>
              <w:jc w:val="center"/>
            </w:pPr>
            <w:r/>
            <w:r>
              <w:rPr>
                <w:rFonts w:ascii="Calibri" w:hAnsi="Calibri"/>
                <w:b/>
                <w:i w:val="0"/>
                <w:sz w:val="15"/>
              </w:rPr>
              <w:t>Model 2</w:t>
            </w:r>
          </w:p>
        </w:tc>
        <w:tc>
          <w:tcPr>
            <w:tcW w:type="dxa" w:w="1872"/>
            <w:tcBorders>
              <w:top w:val="single" w:sz="8" w:color="000000"/>
              <w:bottom w:val="single" w:sz="6" w:color="000000"/>
            </w:tcBorders>
          </w:tcPr>
          <w:p>
            <w:pPr>
              <w:spacing w:line="240" w:lineRule="auto" w:after="0" w:before="0"/>
              <w:jc w:val="center"/>
            </w:pPr>
            <w:r/>
            <w:r>
              <w:rPr>
                <w:rFonts w:ascii="Calibri" w:hAnsi="Calibri"/>
                <w:b/>
                <w:i w:val="0"/>
                <w:sz w:val="15"/>
              </w:rPr>
              <w:t>Model 3</w:t>
            </w:r>
          </w:p>
        </w:tc>
        <w:tc>
          <w:tcPr>
            <w:tcW w:type="dxa" w:w="864"/>
            <w:tcBorders>
              <w:top w:val="single" w:sz="8" w:color="000000"/>
              <w:bottom w:val="single" w:sz="6" w:color="000000"/>
            </w:tcBorders>
          </w:tcPr>
          <w:p>
            <w:pPr>
              <w:spacing w:line="240" w:lineRule="auto" w:after="0" w:before="0"/>
              <w:jc w:val="center"/>
            </w:pPr>
            <w:r/>
            <w:r>
              <w:rPr>
                <w:rFonts w:ascii="Calibri" w:hAnsi="Calibri"/>
                <w:b/>
                <w:i w:val="0"/>
                <w:sz w:val="15"/>
              </w:rPr>
              <w:t>pd (M3)</w:t>
            </w:r>
          </w:p>
        </w:tc>
      </w:tr>
      <w:tr>
        <w:tc>
          <w:tcPr>
            <w:tcW w:type="dxa" w:w="2232"/>
          </w:tcPr>
          <w:p>
            <w:pPr>
              <w:spacing w:line="240" w:lineRule="auto" w:after="0" w:before="0"/>
            </w:pPr>
            <w:r/>
            <w:r>
              <w:rPr>
                <w:rFonts w:ascii="Calibri" w:hAnsi="Calibri"/>
                <w:b/>
                <w:i/>
                <w:sz w:val="15"/>
              </w:rPr>
              <w:t>Fixed effects (log-odds)</w:t>
            </w:r>
          </w:p>
        </w:tc>
        <w:tc>
          <w:tcPr>
            <w:tcW w:type="dxa" w:w="1872"/>
          </w:tcPr>
          <w:p>
            <w:pPr>
              <w:spacing w:line="240" w:lineRule="auto" w:after="0" w:before="0"/>
              <w:jc w:val="center"/>
            </w:pPr>
            <w:r/>
          </w:p>
        </w:tc>
        <w:tc>
          <w:tcPr>
            <w:tcW w:type="dxa" w:w="1872"/>
          </w:tcPr>
          <w:p>
            <w:pPr>
              <w:spacing w:line="240" w:lineRule="auto" w:after="0" w:before="0"/>
              <w:jc w:val="center"/>
            </w:pPr>
            <w:r/>
          </w:p>
        </w:tc>
        <w:tc>
          <w:tcPr>
            <w:tcW w:type="dxa" w:w="1872"/>
          </w:tcPr>
          <w:p>
            <w:pPr>
              <w:spacing w:line="240" w:lineRule="auto" w:after="0" w:before="0"/>
              <w:jc w:val="center"/>
            </w:pPr>
            <w:r/>
          </w:p>
        </w:tc>
        <w:tc>
          <w:tcPr>
            <w:tcW w:type="dxa" w:w="864"/>
          </w:tcPr>
          <w:p>
            <w:pPr>
              <w:spacing w:line="240" w:lineRule="auto" w:after="0" w:before="0"/>
              <w:jc w:val="center"/>
            </w:pPr>
            <w:r/>
          </w:p>
        </w:tc>
      </w:tr>
      <w:tr>
        <w:tc>
          <w:tcPr>
            <w:tcW w:type="dxa" w:w="2232"/>
          </w:tcPr>
          <w:p>
            <w:pPr>
              <w:spacing w:line="240" w:lineRule="auto" w:after="0" w:before="0"/>
            </w:pPr>
            <w:r/>
            <w:r>
              <w:rPr>
                <w:rFonts w:ascii="Calibri" w:hAnsi="Calibri"/>
                <w:b w:val="0"/>
                <w:i w:val="0"/>
                <w:sz w:val="15"/>
              </w:rPr>
              <w:t>Intercept (γ₀₀)</w:t>
            </w:r>
          </w:p>
        </w:tc>
        <w:tc>
          <w:tcPr>
            <w:tcW w:type="dxa" w:w="1872"/>
          </w:tcPr>
          <w:p>
            <w:pPr>
              <w:spacing w:line="240" w:lineRule="auto" w:after="0" w:before="0"/>
              <w:jc w:val="center"/>
            </w:pPr>
            <w:r/>
            <w:r>
              <w:rPr>
                <w:rFonts w:ascii="Calibri" w:hAnsi="Calibri"/>
                <w:b w:val="0"/>
                <w:i w:val="0"/>
                <w:sz w:val="15"/>
              </w:rPr>
              <w:t>−1.09 [−1.57, −0.64]</w:t>
            </w:r>
          </w:p>
        </w:tc>
        <w:tc>
          <w:tcPr>
            <w:tcW w:type="dxa" w:w="1872"/>
          </w:tcPr>
          <w:p>
            <w:pPr>
              <w:spacing w:line="240" w:lineRule="auto" w:after="0" w:before="0"/>
              <w:jc w:val="center"/>
            </w:pPr>
            <w:r/>
            <w:r>
              <w:rPr>
                <w:rFonts w:ascii="Calibri" w:hAnsi="Calibri"/>
                <w:b w:val="0"/>
                <w:i w:val="0"/>
                <w:sz w:val="15"/>
              </w:rPr>
              <w:t>−1.09 [−1.56, −0.60]</w:t>
            </w:r>
          </w:p>
        </w:tc>
        <w:tc>
          <w:tcPr>
            <w:tcW w:type="dxa" w:w="1872"/>
          </w:tcPr>
          <w:p>
            <w:pPr>
              <w:spacing w:line="240" w:lineRule="auto" w:after="0" w:before="0"/>
              <w:jc w:val="center"/>
            </w:pPr>
            <w:r/>
            <w:r>
              <w:rPr>
                <w:rFonts w:ascii="Calibri" w:hAnsi="Calibri"/>
                <w:b w:val="0"/>
                <w:i w:val="0"/>
                <w:sz w:val="15"/>
              </w:rPr>
              <w:t>−1.10 [−1.58, −0.62]</w:t>
            </w:r>
          </w:p>
        </w:tc>
        <w:tc>
          <w:tcPr>
            <w:tcW w:type="dxa" w:w="864"/>
          </w:tcPr>
          <w:p>
            <w:pPr>
              <w:spacing w:line="240" w:lineRule="auto" w:after="0" w:before="0"/>
              <w:jc w:val="center"/>
            </w:pPr>
            <w:r/>
            <w:r>
              <w:rPr>
                <w:rFonts w:ascii="Calibri" w:hAnsi="Calibri"/>
                <w:b w:val="0"/>
                <w:i w:val="0"/>
                <w:sz w:val="15"/>
              </w:rPr>
              <w:t>&gt;.999</w:t>
            </w:r>
          </w:p>
        </w:tc>
      </w:tr>
      <w:tr>
        <w:tc>
          <w:tcPr>
            <w:tcW w:type="dxa" w:w="2232"/>
          </w:tcPr>
          <w:p>
            <w:pPr>
              <w:spacing w:line="240" w:lineRule="auto" w:after="0" w:before="0"/>
            </w:pPr>
            <w:r/>
            <w:r>
              <w:rPr>
                <w:rFonts w:ascii="Calibri" w:hAnsi="Calibri"/>
                <w:b w:val="0"/>
                <w:i w:val="0"/>
                <w:sz w:val="15"/>
              </w:rPr>
              <w:t>reward(t−1) (γ₁₀)</w:t>
            </w:r>
          </w:p>
        </w:tc>
        <w:tc>
          <w:tcPr>
            <w:tcW w:type="dxa" w:w="1872"/>
          </w:tcPr>
          <w:p>
            <w:pPr>
              <w:spacing w:line="240" w:lineRule="auto" w:after="0" w:before="0"/>
              <w:jc w:val="center"/>
            </w:pPr>
            <w:r/>
            <w:r>
              <w:rPr>
                <w:rFonts w:ascii="Calibri" w:hAnsi="Calibri"/>
                <w:b w:val="0"/>
                <w:i w:val="0"/>
                <w:sz w:val="15"/>
              </w:rPr>
              <w:t>0.93 [0.31, 1.54]</w:t>
            </w:r>
          </w:p>
        </w:tc>
        <w:tc>
          <w:tcPr>
            <w:tcW w:type="dxa" w:w="1872"/>
          </w:tcPr>
          <w:p>
            <w:pPr>
              <w:spacing w:line="240" w:lineRule="auto" w:after="0" w:before="0"/>
              <w:jc w:val="center"/>
            </w:pPr>
            <w:r/>
            <w:r>
              <w:rPr>
                <w:rFonts w:ascii="Calibri" w:hAnsi="Calibri"/>
                <w:b w:val="0"/>
                <w:i w:val="0"/>
                <w:sz w:val="15"/>
              </w:rPr>
              <w:t>0.94 [0.32, 1.55]</w:t>
            </w:r>
          </w:p>
        </w:tc>
        <w:tc>
          <w:tcPr>
            <w:tcW w:type="dxa" w:w="1872"/>
          </w:tcPr>
          <w:p>
            <w:pPr>
              <w:spacing w:line="240" w:lineRule="auto" w:after="0" w:before="0"/>
              <w:jc w:val="center"/>
            </w:pPr>
            <w:r/>
            <w:r>
              <w:rPr>
                <w:rFonts w:ascii="Calibri" w:hAnsi="Calibri"/>
                <w:b w:val="0"/>
                <w:i w:val="0"/>
                <w:sz w:val="15"/>
              </w:rPr>
              <w:t>0.95 [0.31, 1.57]</w:t>
            </w:r>
          </w:p>
        </w:tc>
        <w:tc>
          <w:tcPr>
            <w:tcW w:type="dxa" w:w="864"/>
          </w:tcPr>
          <w:p>
            <w:pPr>
              <w:spacing w:line="240" w:lineRule="auto" w:after="0" w:before="0"/>
              <w:jc w:val="center"/>
            </w:pPr>
            <w:r/>
            <w:r>
              <w:rPr>
                <w:rFonts w:ascii="Calibri" w:hAnsi="Calibri"/>
                <w:b w:val="0"/>
                <w:i w:val="0"/>
                <w:sz w:val="15"/>
              </w:rPr>
              <w:t>.997</w:t>
            </w:r>
          </w:p>
        </w:tc>
      </w:tr>
      <w:tr>
        <w:tc>
          <w:tcPr>
            <w:tcW w:type="dxa" w:w="2232"/>
          </w:tcPr>
          <w:p>
            <w:pPr>
              <w:spacing w:line="240" w:lineRule="auto" w:after="0" w:before="0"/>
            </w:pPr>
            <w:r/>
            <w:r>
              <w:rPr>
                <w:rFonts w:ascii="Calibri" w:hAnsi="Calibri"/>
                <w:b w:val="0"/>
                <w:i w:val="0"/>
                <w:sz w:val="15"/>
              </w:rPr>
              <w:t>K</w:t>
            </w:r>
            <w:r>
              <w:rPr>
                <w:rFonts w:ascii="Calibri" w:hAnsi="Calibri"/>
                <w:b w:val="0"/>
                <w:i/>
                <w:sz w:val="15"/>
                <w:vertAlign w:val="subscript"/>
              </w:rPr>
              <w:t>c</w:t>
            </w:r>
            <w:r>
              <w:rPr>
                <w:rFonts w:ascii="Calibri" w:hAnsi="Calibri"/>
                <w:b w:val="0"/>
                <w:i w:val="0"/>
                <w:sz w:val="15"/>
              </w:rPr>
              <w:t xml:space="preserve"> (γ₀₁)</w:t>
            </w:r>
          </w:p>
        </w:tc>
        <w:tc>
          <w:tcPr>
            <w:tcW w:type="dxa" w:w="1872"/>
          </w:tcPr>
          <w:p>
            <w:pPr>
              <w:spacing w:line="240" w:lineRule="auto" w:after="0" w:before="0"/>
              <w:jc w:val="center"/>
            </w:pPr>
            <w:r/>
            <w:r>
              <w:rPr>
                <w:rFonts w:ascii="Calibri" w:hAnsi="Calibri"/>
                <w:b w:val="0"/>
                <w:i w:val="0"/>
                <w:sz w:val="15"/>
              </w:rPr>
              <w:t>—</w:t>
            </w:r>
          </w:p>
        </w:tc>
        <w:tc>
          <w:tcPr>
            <w:tcW w:type="dxa" w:w="1872"/>
          </w:tcPr>
          <w:p>
            <w:pPr>
              <w:spacing w:line="240" w:lineRule="auto" w:after="0" w:before="0"/>
              <w:jc w:val="center"/>
            </w:pPr>
            <w:r/>
            <w:r>
              <w:rPr>
                <w:rFonts w:ascii="Calibri" w:hAnsi="Calibri"/>
                <w:b w:val="0"/>
                <w:i w:val="0"/>
                <w:sz w:val="15"/>
              </w:rPr>
              <w:t>0.14 [−0.21, 0.50]</w:t>
            </w:r>
          </w:p>
        </w:tc>
        <w:tc>
          <w:tcPr>
            <w:tcW w:type="dxa" w:w="1872"/>
          </w:tcPr>
          <w:p>
            <w:pPr>
              <w:spacing w:line="240" w:lineRule="auto" w:after="0" w:before="0"/>
              <w:jc w:val="center"/>
            </w:pPr>
            <w:r/>
            <w:r>
              <w:rPr>
                <w:rFonts w:ascii="Calibri" w:hAnsi="Calibri"/>
                <w:b w:val="0"/>
                <w:i w:val="0"/>
                <w:sz w:val="15"/>
              </w:rPr>
              <w:t>0.29 [−0.12, 0.69]</w:t>
            </w:r>
          </w:p>
        </w:tc>
        <w:tc>
          <w:tcPr>
            <w:tcW w:type="dxa" w:w="864"/>
          </w:tcPr>
          <w:p>
            <w:pPr>
              <w:spacing w:line="240" w:lineRule="auto" w:after="0" w:before="0"/>
              <w:jc w:val="center"/>
            </w:pPr>
            <w:r/>
            <w:r>
              <w:rPr>
                <w:rFonts w:ascii="Calibri" w:hAnsi="Calibri"/>
                <w:b w:val="0"/>
                <w:i w:val="0"/>
                <w:sz w:val="15"/>
              </w:rPr>
              <w:t>.919</w:t>
            </w:r>
          </w:p>
        </w:tc>
      </w:tr>
      <w:tr>
        <w:tc>
          <w:tcPr>
            <w:tcW w:type="dxa" w:w="2232"/>
          </w:tcPr>
          <w:p>
            <w:pPr>
              <w:spacing w:line="240" w:lineRule="auto" w:after="0" w:before="0"/>
            </w:pPr>
            <w:r/>
            <w:r>
              <w:rPr>
                <w:rFonts w:ascii="Calibri" w:hAnsi="Calibri"/>
                <w:b w:val="0"/>
                <w:i w:val="0"/>
                <w:sz w:val="15"/>
              </w:rPr>
              <w:t>reward(t−1) × K</w:t>
            </w:r>
            <w:r>
              <w:rPr>
                <w:rFonts w:ascii="Calibri" w:hAnsi="Calibri"/>
                <w:b w:val="0"/>
                <w:i/>
                <w:sz w:val="15"/>
                <w:vertAlign w:val="subscript"/>
              </w:rPr>
              <w:t>c</w:t>
            </w:r>
            <w:r>
              <w:rPr>
                <w:rFonts w:ascii="Calibri" w:hAnsi="Calibri"/>
                <w:b w:val="0"/>
                <w:i w:val="0"/>
                <w:sz w:val="15"/>
              </w:rPr>
              <w:t xml:space="preserve"> (γ₁₁)</w:t>
            </w:r>
          </w:p>
        </w:tc>
        <w:tc>
          <w:tcPr>
            <w:tcW w:type="dxa" w:w="1872"/>
          </w:tcPr>
          <w:p>
            <w:pPr>
              <w:spacing w:line="240" w:lineRule="auto" w:after="0" w:before="0"/>
              <w:jc w:val="center"/>
            </w:pPr>
            <w:r/>
            <w:r>
              <w:rPr>
                <w:rFonts w:ascii="Calibri" w:hAnsi="Calibri"/>
                <w:b w:val="0"/>
                <w:i w:val="0"/>
                <w:sz w:val="15"/>
              </w:rPr>
              <w:t>—</w:t>
            </w:r>
          </w:p>
        </w:tc>
        <w:tc>
          <w:tcPr>
            <w:tcW w:type="dxa" w:w="1872"/>
          </w:tcPr>
          <w:p>
            <w:pPr>
              <w:spacing w:line="240" w:lineRule="auto" w:after="0" w:before="0"/>
              <w:jc w:val="center"/>
            </w:pPr>
            <w:r/>
            <w:r>
              <w:rPr>
                <w:rFonts w:ascii="Calibri" w:hAnsi="Calibri"/>
                <w:b w:val="0"/>
                <w:i w:val="0"/>
                <w:sz w:val="15"/>
              </w:rPr>
              <w:t>—</w:t>
            </w:r>
          </w:p>
        </w:tc>
        <w:tc>
          <w:tcPr>
            <w:tcW w:type="dxa" w:w="1872"/>
          </w:tcPr>
          <w:p>
            <w:pPr>
              <w:spacing w:line="240" w:lineRule="auto" w:after="0" w:before="0"/>
              <w:jc w:val="center"/>
            </w:pPr>
            <w:r/>
            <w:r>
              <w:rPr>
                <w:rFonts w:ascii="Calibri" w:hAnsi="Calibri"/>
                <w:b w:val="0"/>
                <w:i w:val="0"/>
                <w:sz w:val="15"/>
              </w:rPr>
              <w:t>−0.40 [−0.92, 0.12]</w:t>
            </w:r>
          </w:p>
        </w:tc>
        <w:tc>
          <w:tcPr>
            <w:tcW w:type="dxa" w:w="864"/>
          </w:tcPr>
          <w:p>
            <w:pPr>
              <w:spacing w:line="240" w:lineRule="auto" w:after="0" w:before="0"/>
              <w:jc w:val="center"/>
            </w:pPr>
            <w:r/>
            <w:r>
              <w:rPr>
                <w:rFonts w:ascii="Calibri" w:hAnsi="Calibri"/>
                <w:b w:val="0"/>
                <w:i w:val="0"/>
                <w:sz w:val="15"/>
              </w:rPr>
              <w:t>.937</w:t>
            </w:r>
          </w:p>
        </w:tc>
      </w:tr>
      <w:tr>
        <w:tc>
          <w:tcPr>
            <w:tcW w:type="dxa" w:w="2232"/>
          </w:tcPr>
          <w:p>
            <w:pPr>
              <w:spacing w:line="240" w:lineRule="auto" w:after="0" w:before="0"/>
            </w:pPr>
            <w:r/>
            <w:r>
              <w:rPr>
                <w:rFonts w:ascii="Calibri" w:hAnsi="Calibri"/>
                <w:b/>
                <w:i/>
                <w:sz w:val="15"/>
              </w:rPr>
              <w:t>Random effects (SD)</w:t>
            </w:r>
          </w:p>
        </w:tc>
        <w:tc>
          <w:tcPr>
            <w:tcW w:type="dxa" w:w="1872"/>
          </w:tcPr>
          <w:p>
            <w:pPr>
              <w:spacing w:line="240" w:lineRule="auto" w:after="0" w:before="0"/>
              <w:jc w:val="center"/>
            </w:pPr>
            <w:r/>
          </w:p>
        </w:tc>
        <w:tc>
          <w:tcPr>
            <w:tcW w:type="dxa" w:w="1872"/>
          </w:tcPr>
          <w:p>
            <w:pPr>
              <w:spacing w:line="240" w:lineRule="auto" w:after="0" w:before="0"/>
              <w:jc w:val="center"/>
            </w:pPr>
            <w:r/>
          </w:p>
        </w:tc>
        <w:tc>
          <w:tcPr>
            <w:tcW w:type="dxa" w:w="1872"/>
          </w:tcPr>
          <w:p>
            <w:pPr>
              <w:spacing w:line="240" w:lineRule="auto" w:after="0" w:before="0"/>
              <w:jc w:val="center"/>
            </w:pPr>
            <w:r/>
          </w:p>
        </w:tc>
        <w:tc>
          <w:tcPr>
            <w:tcW w:type="dxa" w:w="864"/>
          </w:tcPr>
          <w:p>
            <w:pPr>
              <w:spacing w:line="240" w:lineRule="auto" w:after="0" w:before="0"/>
              <w:jc w:val="center"/>
            </w:pPr>
            <w:r/>
          </w:p>
        </w:tc>
      </w:tr>
      <w:tr>
        <w:tc>
          <w:tcPr>
            <w:tcW w:type="dxa" w:w="2232"/>
          </w:tcPr>
          <w:p>
            <w:pPr>
              <w:spacing w:line="240" w:lineRule="auto" w:after="0" w:before="0"/>
            </w:pPr>
            <w:r/>
            <w:r>
              <w:rPr>
                <w:rFonts w:ascii="Calibri" w:hAnsi="Calibri"/>
                <w:b w:val="0"/>
                <w:i w:val="0"/>
                <w:sz w:val="15"/>
              </w:rPr>
              <w:t>SD(Intercept), √τ₀₀</w:t>
            </w:r>
          </w:p>
        </w:tc>
        <w:tc>
          <w:tcPr>
            <w:tcW w:type="dxa" w:w="1872"/>
          </w:tcPr>
          <w:p>
            <w:pPr>
              <w:spacing w:line="240" w:lineRule="auto" w:after="0" w:before="0"/>
              <w:jc w:val="center"/>
            </w:pPr>
            <w:r/>
            <w:r>
              <w:rPr>
                <w:rFonts w:ascii="Calibri" w:hAnsi="Calibri"/>
                <w:b w:val="0"/>
                <w:i w:val="0"/>
                <w:sz w:val="15"/>
              </w:rPr>
              <w:t>1.36 [1.03, 1.82]</w:t>
            </w:r>
          </w:p>
        </w:tc>
        <w:tc>
          <w:tcPr>
            <w:tcW w:type="dxa" w:w="1872"/>
          </w:tcPr>
          <w:p>
            <w:pPr>
              <w:spacing w:line="240" w:lineRule="auto" w:after="0" w:before="0"/>
              <w:jc w:val="center"/>
            </w:pPr>
            <w:r/>
            <w:r>
              <w:rPr>
                <w:rFonts w:ascii="Calibri" w:hAnsi="Calibri"/>
                <w:b w:val="0"/>
                <w:i w:val="0"/>
                <w:sz w:val="15"/>
              </w:rPr>
              <w:t>1.34 [1.00, 1.79]</w:t>
            </w:r>
          </w:p>
        </w:tc>
        <w:tc>
          <w:tcPr>
            <w:tcW w:type="dxa" w:w="1872"/>
          </w:tcPr>
          <w:p>
            <w:pPr>
              <w:spacing w:line="240" w:lineRule="auto" w:after="0" w:before="0"/>
              <w:jc w:val="center"/>
            </w:pPr>
            <w:r/>
            <w:r>
              <w:rPr>
                <w:rFonts w:ascii="Calibri" w:hAnsi="Calibri"/>
                <w:b w:val="0"/>
                <w:i w:val="0"/>
                <w:sz w:val="15"/>
              </w:rPr>
              <w:t>1.34 [1.00, 1.79]</w:t>
            </w:r>
          </w:p>
        </w:tc>
        <w:tc>
          <w:tcPr>
            <w:tcW w:type="dxa" w:w="864"/>
          </w:tcPr>
          <w:p>
            <w:pPr>
              <w:spacing w:line="240" w:lineRule="auto" w:after="0" w:before="0"/>
              <w:jc w:val="center"/>
            </w:pPr>
            <w:r/>
            <w:r>
              <w:rPr>
                <w:rFonts w:ascii="Calibri" w:hAnsi="Calibri"/>
                <w:b w:val="0"/>
                <w:i w:val="0"/>
                <w:sz w:val="15"/>
              </w:rPr>
              <w:t>—</w:t>
            </w:r>
          </w:p>
        </w:tc>
      </w:tr>
      <w:tr>
        <w:tc>
          <w:tcPr>
            <w:tcW w:type="dxa" w:w="2232"/>
          </w:tcPr>
          <w:p>
            <w:pPr>
              <w:spacing w:line="240" w:lineRule="auto" w:after="0" w:before="0"/>
            </w:pPr>
            <w:r/>
            <w:r>
              <w:rPr>
                <w:rFonts w:ascii="Calibri" w:hAnsi="Calibri"/>
                <w:b w:val="0"/>
                <w:i w:val="0"/>
                <w:sz w:val="15"/>
              </w:rPr>
              <w:t>SD(reward), √τ₁₁</w:t>
            </w:r>
          </w:p>
        </w:tc>
        <w:tc>
          <w:tcPr>
            <w:tcW w:type="dxa" w:w="1872"/>
          </w:tcPr>
          <w:p>
            <w:pPr>
              <w:spacing w:line="240" w:lineRule="auto" w:after="0" w:before="0"/>
              <w:jc w:val="center"/>
            </w:pPr>
            <w:r/>
            <w:r>
              <w:rPr>
                <w:rFonts w:ascii="Calibri" w:hAnsi="Calibri"/>
                <w:b w:val="0"/>
                <w:i w:val="0"/>
                <w:sz w:val="15"/>
              </w:rPr>
              <w:t>1.81 [1.39, 2.36]</w:t>
            </w:r>
          </w:p>
        </w:tc>
        <w:tc>
          <w:tcPr>
            <w:tcW w:type="dxa" w:w="1872"/>
          </w:tcPr>
          <w:p>
            <w:pPr>
              <w:spacing w:line="240" w:lineRule="auto" w:after="0" w:before="0"/>
              <w:jc w:val="center"/>
            </w:pPr>
            <w:r/>
            <w:r>
              <w:rPr>
                <w:rFonts w:ascii="Calibri" w:hAnsi="Calibri"/>
                <w:b w:val="0"/>
                <w:i w:val="0"/>
                <w:sz w:val="15"/>
              </w:rPr>
              <w:t>1.81 [1.40, 2.38]</w:t>
            </w:r>
          </w:p>
        </w:tc>
        <w:tc>
          <w:tcPr>
            <w:tcW w:type="dxa" w:w="1872"/>
          </w:tcPr>
          <w:p>
            <w:pPr>
              <w:spacing w:line="240" w:lineRule="auto" w:after="0" w:before="0"/>
              <w:jc w:val="center"/>
            </w:pPr>
            <w:r/>
            <w:r>
              <w:rPr>
                <w:rFonts w:ascii="Calibri" w:hAnsi="Calibri"/>
                <w:b w:val="0"/>
                <w:i w:val="0"/>
                <w:sz w:val="15"/>
              </w:rPr>
              <w:t>1.78 [1.37, 2.31]</w:t>
            </w:r>
          </w:p>
        </w:tc>
        <w:tc>
          <w:tcPr>
            <w:tcW w:type="dxa" w:w="864"/>
          </w:tcPr>
          <w:p>
            <w:pPr>
              <w:spacing w:line="240" w:lineRule="auto" w:after="0" w:before="0"/>
              <w:jc w:val="center"/>
            </w:pPr>
            <w:r/>
            <w:r>
              <w:rPr>
                <w:rFonts w:ascii="Calibri" w:hAnsi="Calibri"/>
                <w:b w:val="0"/>
                <w:i w:val="0"/>
                <w:sz w:val="15"/>
              </w:rPr>
              <w:t>—</w:t>
            </w:r>
          </w:p>
        </w:tc>
      </w:tr>
      <w:tr>
        <w:tc>
          <w:tcPr>
            <w:tcW w:type="dxa" w:w="2232"/>
          </w:tcPr>
          <w:p>
            <w:pPr>
              <w:spacing w:line="240" w:lineRule="auto" w:after="0" w:before="0"/>
            </w:pPr>
            <w:r/>
            <w:r>
              <w:rPr>
                <w:rFonts w:ascii="Calibri" w:hAnsi="Calibri"/>
                <w:b w:val="0"/>
                <w:i w:val="0"/>
                <w:sz w:val="15"/>
              </w:rPr>
              <w:t>cor(U₀ⱼ, U₁ⱼ)</w:t>
            </w:r>
          </w:p>
        </w:tc>
        <w:tc>
          <w:tcPr>
            <w:tcW w:type="dxa" w:w="1872"/>
          </w:tcPr>
          <w:p>
            <w:pPr>
              <w:spacing w:line="240" w:lineRule="auto" w:after="0" w:before="0"/>
              <w:jc w:val="center"/>
            </w:pPr>
            <w:r/>
            <w:r>
              <w:rPr>
                <w:rFonts w:ascii="Calibri" w:hAnsi="Calibri"/>
                <w:b w:val="0"/>
                <w:i w:val="0"/>
                <w:sz w:val="15"/>
              </w:rPr>
              <w:t>−0.49 [−0.73, −0.18]</w:t>
            </w:r>
          </w:p>
        </w:tc>
        <w:tc>
          <w:tcPr>
            <w:tcW w:type="dxa" w:w="1872"/>
          </w:tcPr>
          <w:p>
            <w:pPr>
              <w:spacing w:line="240" w:lineRule="auto" w:after="0" w:before="0"/>
              <w:jc w:val="center"/>
            </w:pPr>
            <w:r/>
            <w:r>
              <w:rPr>
                <w:rFonts w:ascii="Calibri" w:hAnsi="Calibri"/>
                <w:b w:val="0"/>
                <w:i w:val="0"/>
                <w:sz w:val="15"/>
              </w:rPr>
              <w:t>−0.46 [−0.72, −0.14]</w:t>
            </w:r>
          </w:p>
        </w:tc>
        <w:tc>
          <w:tcPr>
            <w:tcW w:type="dxa" w:w="1872"/>
          </w:tcPr>
          <w:p>
            <w:pPr>
              <w:spacing w:line="240" w:lineRule="auto" w:after="0" w:before="0"/>
              <w:jc w:val="center"/>
            </w:pPr>
            <w:r/>
            <w:r>
              <w:rPr>
                <w:rFonts w:ascii="Calibri" w:hAnsi="Calibri"/>
                <w:b w:val="0"/>
                <w:i w:val="0"/>
                <w:sz w:val="15"/>
              </w:rPr>
              <w:t>−0.46 [−0.71, −0.14]</w:t>
            </w:r>
          </w:p>
        </w:tc>
        <w:tc>
          <w:tcPr>
            <w:tcW w:type="dxa" w:w="864"/>
          </w:tcPr>
          <w:p>
            <w:pPr>
              <w:spacing w:line="240" w:lineRule="auto" w:after="0" w:before="0"/>
              <w:jc w:val="center"/>
            </w:pPr>
            <w:r/>
            <w:r>
              <w:rPr>
                <w:rFonts w:ascii="Calibri" w:hAnsi="Calibri"/>
                <w:b w:val="0"/>
                <w:i w:val="0"/>
                <w:sz w:val="15"/>
              </w:rPr>
              <w:t>—</w:t>
            </w:r>
          </w:p>
        </w:tc>
      </w:tr>
      <w:tr>
        <w:tc>
          <w:tcPr>
            <w:tcW w:type="dxa" w:w="2232"/>
            <w:tcBorders>
              <w:bottom w:val="single" w:sz="8" w:color="000000"/>
            </w:tcBorders>
          </w:tcPr>
          <w:p>
            <w:pPr>
              <w:spacing w:line="240" w:lineRule="auto" w:after="0" w:before="0"/>
            </w:pPr>
            <w:r/>
            <w:r>
              <w:rPr>
                <w:rFonts w:ascii="Calibri" w:hAnsi="Calibri"/>
                <w:b w:val="0"/>
                <w:i w:val="0"/>
                <w:sz w:val="15"/>
              </w:rPr>
              <w:t>Marginal / conditional R²</w:t>
            </w:r>
          </w:p>
        </w:tc>
        <w:tc>
          <w:tcPr>
            <w:tcW w:type="dxa" w:w="1872"/>
            <w:tcBorders>
              <w:bottom w:val="single" w:sz="8" w:color="000000"/>
            </w:tcBorders>
          </w:tcPr>
          <w:p>
            <w:pPr>
              <w:spacing w:line="240" w:lineRule="auto" w:after="0" w:before="0"/>
              <w:jc w:val="center"/>
            </w:pPr>
            <w:r/>
            <w:r>
              <w:rPr>
                <w:rFonts w:ascii="Calibri" w:hAnsi="Calibri"/>
                <w:b w:val="0"/>
                <w:i w:val="0"/>
                <w:sz w:val="15"/>
              </w:rPr>
              <w:t>.049 / .275</w:t>
            </w:r>
          </w:p>
        </w:tc>
        <w:tc>
          <w:tcPr>
            <w:tcW w:type="dxa" w:w="1872"/>
            <w:tcBorders>
              <w:bottom w:val="single" w:sz="8" w:color="000000"/>
            </w:tcBorders>
          </w:tcPr>
          <w:p>
            <w:pPr>
              <w:spacing w:line="240" w:lineRule="auto" w:after="0" w:before="0"/>
              <w:jc w:val="center"/>
            </w:pPr>
            <w:r/>
            <w:r>
              <w:rPr>
                <w:rFonts w:ascii="Calibri" w:hAnsi="Calibri"/>
                <w:b w:val="0"/>
                <w:i w:val="0"/>
                <w:sz w:val="15"/>
              </w:rPr>
              <w:t>.061 / .275</w:t>
            </w:r>
          </w:p>
        </w:tc>
        <w:tc>
          <w:tcPr>
            <w:tcW w:type="dxa" w:w="1872"/>
            <w:tcBorders>
              <w:bottom w:val="single" w:sz="8" w:color="000000"/>
            </w:tcBorders>
          </w:tcPr>
          <w:p>
            <w:pPr>
              <w:spacing w:line="240" w:lineRule="auto" w:after="0" w:before="0"/>
              <w:jc w:val="center"/>
            </w:pPr>
            <w:r/>
            <w:r>
              <w:rPr>
                <w:rFonts w:ascii="Calibri" w:hAnsi="Calibri"/>
                <w:b w:val="0"/>
                <w:i w:val="0"/>
                <w:sz w:val="15"/>
              </w:rPr>
              <w:t>.068 / .275</w:t>
            </w:r>
          </w:p>
        </w:tc>
        <w:tc>
          <w:tcPr>
            <w:tcW w:type="dxa" w:w="864"/>
            <w:tcBorders>
              <w:bottom w:val="single" w:sz="8" w:color="000000"/>
            </w:tcBorders>
          </w:tcPr>
          <w:p>
            <w:pPr>
              <w:spacing w:line="240" w:lineRule="auto" w:after="0" w:before="0"/>
              <w:jc w:val="center"/>
            </w:pPr>
            <w:r/>
            <w:r>
              <w:rPr>
                <w:rFonts w:ascii="Calibri" w:hAnsi="Calibri"/>
                <w:b w:val="0"/>
                <w:i w:val="0"/>
                <w:sz w:val="15"/>
              </w:rPr>
              <w:t>—</w:t>
            </w:r>
          </w:p>
        </w:tc>
      </w:tr>
    </w:tbl>
    <w:p>
      <w:pPr>
        <w:spacing w:line="240" w:lineRule="auto" w:before="40" w:after="80"/>
        <w:ind w:firstLine="0"/>
      </w:pPr>
      <w:r>
        <w:rPr>
          <w:rFonts w:ascii="Calibri" w:hAnsi="Calibri"/>
          <w:b w:val="0"/>
          <w:i w:val="0"/>
          <w:sz w:val="16"/>
        </w:rPr>
        <w:t>Table 1. Posterior medians [95% credible intervals]. pd = probability of direction, Model 3.</w:t>
      </w:r>
    </w:p>
    <w:p>
      <w:pPr>
        <w:spacing w:line="360" w:lineRule="auto" w:before="0" w:after="0"/>
        <w:ind w:firstLine="317"/>
      </w:pPr>
      <w:r>
        <w:rPr>
          <w:rFonts w:ascii="Calibri" w:hAnsi="Calibri"/>
          <w:b w:val="0"/>
          <w:i w:val="0"/>
          <w:sz w:val="22"/>
        </w:rPr>
        <w:t>Simple reward effects at ±1 SD of K unpack the interaction (Figure 1). At low capacity (K = 0.67) it was large and clearly credible, 1.41 [0.53, 2.29], OR = 4.09 [1.71, 9.86], pd = .998, Δ P(stay) = .30 [.11, .49]; at high capacity (K = 3.00) it was under half as large and no longer credible, 0.48 [−0.39, 1.35], OR = 1.62 [0.68, 3.85], pd = .874, Δ = .11 [−.09, .31] — the two differing by −.19 [−.46, .08], pd = .913.</w:t>
      </w:r>
    </w:p>
    <w:p>
      <w:pPr>
        <w:keepNext/>
        <w:spacing w:before="60" w:after="20" w:line="240" w:lineRule="auto"/>
        <w:jc w:val="center"/>
      </w:pPr>
      <w:r>
        <w:drawing>
          <wp:inline xmlns:a="http://schemas.openxmlformats.org/drawingml/2006/main" xmlns:pic="http://schemas.openxmlformats.org/drawingml/2006/picture">
            <wp:extent cx="4389120" cy="1584960"/>
            <wp:docPr id="1" name="Picture 1"/>
            <wp:cNvGraphicFramePr>
              <a:graphicFrameLocks noChangeAspect="1"/>
            </wp:cNvGraphicFramePr>
            <a:graphic>
              <a:graphicData uri="http://schemas.openxmlformats.org/drawingml/2006/picture">
                <pic:pic>
                  <pic:nvPicPr>
                    <pic:cNvPr id="0" name="reward_effect_by_K.png"/>
                    <pic:cNvPicPr/>
                  </pic:nvPicPr>
                  <pic:blipFill>
                    <a:blip r:embed="rId9"/>
                    <a:stretch>
                      <a:fillRect/>
                    </a:stretch>
                  </pic:blipFill>
                  <pic:spPr>
                    <a:xfrm>
                      <a:off x="0" y="0"/>
                      <a:ext cx="4389120" cy="1584960"/>
                    </a:xfrm>
                    <a:prstGeom prst="rect"/>
                  </pic:spPr>
                </pic:pic>
              </a:graphicData>
            </a:graphic>
          </wp:inline>
        </w:drawing>
      </w:r>
    </w:p>
    <w:p>
      <w:pPr>
        <w:spacing w:line="240" w:lineRule="auto" w:before="0" w:after="80"/>
        <w:ind w:firstLine="0"/>
      </w:pPr>
      <w:r>
        <w:rPr>
          <w:rFonts w:ascii="Calibri" w:hAnsi="Calibri"/>
          <w:b w:val="0"/>
          <w:i w:val="0"/>
          <w:sz w:val="16"/>
        </w:rPr>
        <w:t>Figure 1. Model 3 population-level predictions (fixed effects only) with 95% credible bands; points are observed per-participant rates. (A) P(stay) after unrewarded and rewarded trials across the range of K. (B) The reward effect — the gap between the curves in A — against K.</w:t>
      </w:r>
    </w:p>
    <w:p>
      <w:pPr>
        <w:spacing w:line="360" w:lineRule="auto" w:before="0" w:after="0"/>
        <w:ind w:firstLine="317"/>
      </w:pPr>
      <w:r>
        <w:rPr>
          <w:rFonts w:ascii="Calibri" w:hAnsi="Calibri"/>
          <w:b w:val="0"/>
          <w:i w:val="0"/>
          <w:sz w:val="22"/>
        </w:rPr>
        <w:t>Two checks left it unchanged: a block-within-person random intercept (the design’s third level), which revealed real block-level variance, SD = 0.79 [0.66, 0.93], yet gave γ</w:t>
      </w:r>
      <w:r>
        <w:rPr>
          <w:rFonts w:ascii="Calibri" w:hAnsi="Calibri"/>
          <w:b w:val="0"/>
          <w:i/>
          <w:sz w:val="22"/>
          <w:vertAlign w:val="subscript"/>
        </w:rPr>
        <w:t>11</w:t>
      </w:r>
      <w:r>
        <w:rPr>
          <w:rFonts w:ascii="Calibri" w:hAnsi="Calibri"/>
          <w:b w:val="0"/>
          <w:i w:val="0"/>
          <w:sz w:val="22"/>
        </w:rPr>
        <w:t xml:space="preserve"> = −0.42 [−0.98, 0.15], pd = .927; and person-mean-centring </w:t>
      </w:r>
      <w:r>
        <w:rPr>
          <w:rFonts w:ascii="Calibri" w:hAnsi="Calibri"/>
          <w:b w:val="0"/>
          <w:i/>
          <w:sz w:val="22"/>
        </w:rPr>
        <w:t>reward</w:t>
      </w:r>
      <w:r>
        <w:rPr>
          <w:rFonts w:ascii="Calibri" w:hAnsi="Calibri"/>
          <w:b w:val="0"/>
          <w:i w:val="0"/>
          <w:sz w:val="22"/>
        </w:rPr>
        <w:t>(t−1), γ</w:t>
      </w:r>
      <w:r>
        <w:rPr>
          <w:rFonts w:ascii="Calibri" w:hAnsi="Calibri"/>
          <w:b w:val="0"/>
          <w:i/>
          <w:sz w:val="22"/>
          <w:vertAlign w:val="subscript"/>
        </w:rPr>
        <w:t>11</w:t>
      </w:r>
      <w:r>
        <w:rPr>
          <w:rFonts w:ascii="Calibri" w:hAnsi="Calibri"/>
          <w:b w:val="0"/>
          <w:i w:val="0"/>
          <w:sz w:val="22"/>
        </w:rPr>
        <w:t xml:space="preserve"> = −0.40 [−0.94, 0.14], pd = .930. Model checking was unremarkable: the posterior predictive distribution reproduced the overall stay rate (.378 observed, .378 predicted [.362, .392]), every participant’s rate fell inside its 95% predictive interval, and the estimated random effects were consistent with normality (Shapiro–Wilk ps ≥ .08).</w:t>
      </w:r>
    </w:p>
    <w:p>
      <w:pPr>
        <w:pStyle w:val="Heading1"/>
      </w:pPr>
      <w:r>
        <w:rPr>
          <w:rFonts w:ascii="Calibri" w:hAnsi="Calibri"/>
        </w:rPr>
        <w:t>General Discussion</w:t>
      </w:r>
    </w:p>
    <w:p>
      <w:pPr>
        <w:spacing w:line="360" w:lineRule="auto" w:before="0" w:after="0"/>
        <w:ind w:firstLine="317"/>
      </w:pPr>
      <w:r>
        <w:rPr>
          <w:rFonts w:ascii="Calibri" w:hAnsi="Calibri"/>
          <w:b w:val="0"/>
          <w:i w:val="0"/>
          <w:sz w:val="22"/>
        </w:rPr>
        <w:t>Automatic reward-driven repetition is robust under known non-contingency: even where participants were told, and could check, that the environment was uncontrollable, reward raised the odds of repeating by about 2.6. Whether WM capacity limits it is left genuinely open. The interaction ran in the predicted direction and was sizeable as a simple effect (OR = 4.1 at low capacity versus 1.6 at high), with 94% of its posterior below zero — but its interval includes zero, model comparison shows no predictive gain, and it explains under 3% of the between-person variance in reward sensitivity. Asking in one step rather than two moved the evidence only slightly (pd .865 → .937), so the weak earlier result was not an artefact of the two-stage route.</w:t>
      </w:r>
    </w:p>
    <w:p>
      <w:pPr>
        <w:spacing w:line="360" w:lineRule="auto" w:before="0" w:after="0"/>
        <w:ind w:firstLine="317"/>
      </w:pPr>
      <w:r>
        <w:rPr>
          <w:rFonts w:ascii="Calibri" w:hAnsi="Calibri"/>
          <w:b w:val="0"/>
          <w:i w:val="0"/>
          <w:sz w:val="22"/>
        </w:rPr>
        <w:t>Theoretically, what can be concluded concerns the variance components more than the fixed effects. Individual differences in the reward slope were very large (√τ</w:t>
      </w:r>
      <w:r>
        <w:rPr>
          <w:rFonts w:ascii="Calibri" w:hAnsi="Calibri"/>
          <w:b w:val="0"/>
          <w:i/>
          <w:sz w:val="22"/>
          <w:vertAlign w:val="subscript"/>
        </w:rPr>
        <w:t>11</w:t>
      </w:r>
      <w:r>
        <w:rPr>
          <w:rFonts w:ascii="Calibri" w:hAnsi="Calibri"/>
          <w:b w:val="0"/>
          <w:i w:val="0"/>
          <w:sz w:val="22"/>
        </w:rPr>
        <w:t xml:space="preserve"> = 1.78 against a fixed effect of 0.95), so people really do differ in how much reward drives them; the finding is not that everyone behaves alike, but that a standard WM measure explains almost none of a large, real individual-difference signal. Automatic credit assignment here is not the kind of resource limit that spare capacity offsets.</w:t>
      </w:r>
    </w:p>
    <w:p>
      <w:pPr>
        <w:spacing w:line="360" w:lineRule="auto" w:before="0" w:after="0"/>
        <w:ind w:firstLine="317"/>
      </w:pPr>
      <w:r>
        <w:rPr>
          <w:rFonts w:ascii="Calibri" w:hAnsi="Calibri"/>
          <w:b w:val="0"/>
          <w:i w:val="0"/>
          <w:sz w:val="22"/>
        </w:rPr>
        <w:t>Three limitations bound this, and each points somewhere. N = 35 is modest for a cross-level interaction, whose power comes from the number of level-2 units rather than from the 5,025 trials; Cowan’s K from a single session is noisy — one participant’s was slightly negative — and error in a level-2 moderator attenuates exactly this coefficient; and K indexes storage rather than inhibition. So, most powerfully, move the moderator down a level: manipulating cognitive load within participants would make this a within-person interaction supported by thousands of trials rather than by 35 people. A measure closer to the construct — stop-signal reaction time, or AX-CPT — would test inhibition rather than a proxy. And a hierarchical reinforcement-learning rate in place of the WSLS slope would separate how strongly outcomes are encoded from how they are expressed.</w:t>
      </w:r>
    </w:p>
    <w:p>
      <w:pPr>
        <w:spacing w:line="360" w:lineRule="auto" w:before="120" w:after="40"/>
        <w:ind w:firstLine="0"/>
      </w:pPr>
      <w:r>
        <w:rPr>
          <w:rFonts w:ascii="Calibri" w:hAnsi="Calibri"/>
          <w:b/>
          <w:i w:val="0"/>
          <w:sz w:val="19"/>
        </w:rPr>
        <w:t>References</w:t>
      </w:r>
    </w:p>
    <w:p>
      <w:pPr>
        <w:spacing w:line="240" w:lineRule="auto" w:before="0" w:after="0"/>
        <w:ind w:left="288" w:hanging="288"/>
      </w:pPr>
      <w:r>
        <w:rPr>
          <w:rFonts w:ascii="Calibri" w:hAnsi="Calibri"/>
          <w:b w:val="0"/>
          <w:i w:val="0"/>
          <w:sz w:val="14"/>
        </w:rPr>
        <w:t xml:space="preserve">Barr, D. J., Levy, R., Scheepers, C., &amp; Tily, H. J. (2013). Random effects structure for confirmatory hypothesis testing: Keep it maximal. </w:t>
      </w:r>
      <w:r>
        <w:rPr>
          <w:rFonts w:ascii="Calibri" w:hAnsi="Calibri"/>
          <w:b w:val="0"/>
          <w:i/>
          <w:sz w:val="14"/>
        </w:rPr>
        <w:t>Journal of Memory and Language, 68</w:t>
      </w:r>
      <w:r>
        <w:rPr>
          <w:rFonts w:ascii="Calibri" w:hAnsi="Calibri"/>
          <w:b w:val="0"/>
          <w:i w:val="0"/>
          <w:sz w:val="14"/>
        </w:rPr>
        <w:t>, 255–278.</w:t>
      </w:r>
    </w:p>
    <w:p>
      <w:pPr>
        <w:spacing w:line="240" w:lineRule="auto" w:before="0" w:after="0"/>
        <w:ind w:left="288" w:hanging="288"/>
      </w:pPr>
      <w:r>
        <w:rPr>
          <w:rFonts w:ascii="Calibri" w:hAnsi="Calibri"/>
          <w:b w:val="0"/>
          <w:i w:val="0"/>
          <w:sz w:val="14"/>
        </w:rPr>
        <w:t xml:space="preserve">Bürkner, P.-C. (2017). brms: An R package for Bayesian multilevel models using Stan. </w:t>
      </w:r>
      <w:r>
        <w:rPr>
          <w:rFonts w:ascii="Calibri" w:hAnsi="Calibri"/>
          <w:b w:val="0"/>
          <w:i/>
          <w:sz w:val="14"/>
        </w:rPr>
        <w:t>Journal of Statistical Software, 80</w:t>
      </w:r>
      <w:r>
        <w:rPr>
          <w:rFonts w:ascii="Calibri" w:hAnsi="Calibri"/>
          <w:b w:val="0"/>
          <w:i w:val="0"/>
          <w:sz w:val="14"/>
        </w:rPr>
        <w:t>(1), 1–28.</w:t>
      </w:r>
    </w:p>
    <w:p>
      <w:pPr>
        <w:spacing w:line="240" w:lineRule="auto" w:before="0" w:after="0"/>
        <w:ind w:left="288" w:hanging="288"/>
      </w:pPr>
      <w:r>
        <w:rPr>
          <w:rFonts w:ascii="Calibri" w:hAnsi="Calibri"/>
          <w:b w:val="0"/>
          <w:i w:val="0"/>
          <w:sz w:val="14"/>
        </w:rPr>
        <w:t xml:space="preserve">Cowan, N. (2001). The magical number 4 in short-term memory. </w:t>
      </w:r>
      <w:r>
        <w:rPr>
          <w:rFonts w:ascii="Calibri" w:hAnsi="Calibri"/>
          <w:b w:val="0"/>
          <w:i/>
          <w:sz w:val="14"/>
        </w:rPr>
        <w:t>Behavioral and Brain Sciences, 24</w:t>
      </w:r>
      <w:r>
        <w:rPr>
          <w:rFonts w:ascii="Calibri" w:hAnsi="Calibri"/>
          <w:b w:val="0"/>
          <w:i w:val="0"/>
          <w:sz w:val="14"/>
        </w:rPr>
        <w:t>, 87–114.</w:t>
      </w:r>
    </w:p>
    <w:p>
      <w:pPr>
        <w:spacing w:line="240" w:lineRule="auto" w:before="0" w:after="0"/>
        <w:ind w:left="288" w:hanging="288"/>
      </w:pPr>
      <w:r>
        <w:rPr>
          <w:rFonts w:ascii="Calibri" w:hAnsi="Calibri"/>
          <w:b w:val="0"/>
          <w:i w:val="0"/>
          <w:sz w:val="14"/>
        </w:rPr>
        <w:t xml:space="preserve">Heisig, J. P., &amp; Schaeffer, M. (2019). Why you should always include a random slope for the lower-level variable involved in a cross-level interaction. </w:t>
      </w:r>
      <w:r>
        <w:rPr>
          <w:rFonts w:ascii="Calibri" w:hAnsi="Calibri"/>
          <w:b w:val="0"/>
          <w:i/>
          <w:sz w:val="14"/>
        </w:rPr>
        <w:t>European Sociological Review, 35</w:t>
      </w:r>
      <w:r>
        <w:rPr>
          <w:rFonts w:ascii="Calibri" w:hAnsi="Calibri"/>
          <w:b w:val="0"/>
          <w:i w:val="0"/>
          <w:sz w:val="14"/>
        </w:rPr>
        <w:t>, 258–279.</w:t>
      </w:r>
    </w:p>
    <w:p>
      <w:pPr>
        <w:spacing w:line="240" w:lineRule="auto" w:before="0" w:after="0"/>
        <w:ind w:left="288" w:hanging="288"/>
      </w:pPr>
      <w:r>
        <w:rPr>
          <w:rFonts w:ascii="Calibri" w:hAnsi="Calibri"/>
          <w:b w:val="0"/>
          <w:i w:val="0"/>
          <w:sz w:val="14"/>
        </w:rPr>
        <w:t xml:space="preserve">Makowski, D., Ben-Shachar, M. S., Chen, S. H. A., &amp; Lüdecke, D. (2019). Indices of effect existence and significance in the Bayesian framework. </w:t>
      </w:r>
      <w:r>
        <w:rPr>
          <w:rFonts w:ascii="Calibri" w:hAnsi="Calibri"/>
          <w:b w:val="0"/>
          <w:i/>
          <w:sz w:val="14"/>
        </w:rPr>
        <w:t>Frontiers in Psychology, 10</w:t>
      </w:r>
      <w:r>
        <w:rPr>
          <w:rFonts w:ascii="Calibri" w:hAnsi="Calibri"/>
          <w:b w:val="0"/>
          <w:i w:val="0"/>
          <w:sz w:val="14"/>
        </w:rPr>
        <w:t>, 2767.</w:t>
      </w:r>
    </w:p>
    <w:p>
      <w:pPr>
        <w:spacing w:line="240" w:lineRule="auto" w:before="0" w:after="0"/>
        <w:ind w:left="288" w:hanging="288"/>
      </w:pPr>
      <w:r>
        <w:rPr>
          <w:rFonts w:ascii="Calibri" w:hAnsi="Calibri"/>
          <w:b w:val="0"/>
          <w:i w:val="0"/>
          <w:sz w:val="14"/>
        </w:rPr>
        <w:t xml:space="preserve">Skinner, B. F. (1948). “Superstition” in the pigeon. </w:t>
      </w:r>
      <w:r>
        <w:rPr>
          <w:rFonts w:ascii="Calibri" w:hAnsi="Calibri"/>
          <w:b w:val="0"/>
          <w:i/>
          <w:sz w:val="14"/>
        </w:rPr>
        <w:t>Journal of Experimental Psychology, 38</w:t>
      </w:r>
      <w:r>
        <w:rPr>
          <w:rFonts w:ascii="Calibri" w:hAnsi="Calibri"/>
          <w:b w:val="0"/>
          <w:i w:val="0"/>
          <w:sz w:val="14"/>
        </w:rPr>
        <w:t>, 168–172.</w:t>
      </w:r>
    </w:p>
    <w:p>
      <w:pPr>
        <w:spacing w:line="240" w:lineRule="auto" w:before="0" w:after="0"/>
        <w:ind w:left="288" w:hanging="288"/>
      </w:pPr>
      <w:r>
        <w:rPr>
          <w:rFonts w:ascii="Calibri" w:hAnsi="Calibri"/>
          <w:b w:val="0"/>
          <w:i w:val="0"/>
          <w:sz w:val="14"/>
        </w:rPr>
        <w:t xml:space="preserve">Vehtari, A., Gelman, A., &amp; Gabry, J. (2017). Practical Bayesian model evaluation using leave-one-out cross-validation and WAIC. </w:t>
      </w:r>
      <w:r>
        <w:rPr>
          <w:rFonts w:ascii="Calibri" w:hAnsi="Calibri"/>
          <w:b w:val="0"/>
          <w:i/>
          <w:sz w:val="14"/>
        </w:rPr>
        <w:t>Statistics and Computing, 27</w:t>
      </w:r>
      <w:r>
        <w:rPr>
          <w:rFonts w:ascii="Calibri" w:hAnsi="Calibri"/>
          <w:b w:val="0"/>
          <w:i w:val="0"/>
          <w:sz w:val="14"/>
        </w:rPr>
        <w:t>, 1413–1432.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20" w:line="276"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00" w:after="20" w:line="276"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