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60" w:lineRule="auto"/>
        <w:jc w:val="center"/>
      </w:pPr>
      <w:r>
        <w:rPr>
          <w:rFonts w:ascii="Calibri" w:cs="Calibri" w:eastAsia="Calibri" w:hAnsi="Calibri"/>
          <w:b/>
          <w:bCs/>
          <w:sz w:val="26"/>
          <w:szCs w:val="26"/>
        </w:rPr>
        <w:t xml:space="preserve">Working Memory Capacity Moderates Automatic Reward-Driven Choice Under Known Non-Contingency</w:t>
      </w:r>
    </w:p>
    <w:p>
      <w:pPr>
        <w:spacing w:after="200" w:line="360" w:lineRule="auto"/>
        <w:jc w:val="center"/>
      </w:pPr>
      <w:r>
        <w:rPr>
          <w:rFonts w:ascii="Calibri" w:cs="Calibri" w:eastAsia="Calibri" w:hAnsi="Calibri"/>
          <w:i/>
          <w:iCs/>
          <w:sz w:val="20"/>
          <w:szCs w:val="20"/>
        </w:rPr>
        <w:t xml:space="preserve">Alon Kagan — Hierarchical Models, Final Assignment</w:t>
      </w:r>
    </w:p>
    <w:p>
      <w:pPr>
        <w:pStyle w:val="Heading1"/>
        <w:spacing w:after="100" w:before="160" w:line="360" w:lineRule="auto"/>
      </w:pPr>
      <w:r>
        <w:rPr>
          <w:rFonts w:ascii="Calibri" w:cs="Calibri" w:eastAsia="Calibri" w:hAnsi="Calibri"/>
          <w:b/>
          <w:bCs/>
          <w:sz w:val="26"/>
          <w:szCs w:val="26"/>
        </w:rPr>
        <w:t xml:space="preserve">Introduction</w:t>
      </w:r>
    </w:p>
    <w:p>
      <w:pPr>
        <w:spacing w:after="120" w:line="360" w:lineRule="auto"/>
      </w:pPr>
      <w:r>
        <w:rPr>
          <w:rFonts w:ascii="Calibri" w:cs="Calibri" w:eastAsia="Calibri" w:hAnsi="Calibri"/>
          <w:sz w:val="22"/>
          <w:szCs w:val="22"/>
        </w:rPr>
        <w:t xml:space="preserve">Human value assignment operates largely automatically: choices followed by reward become more likely to repeat even when the causal relevance of the outcome is explicit and understood. In a multi-armed bandit task where every option was instructed, and independently verified, to pay out with the same fixed probability, participants nonetheless showed a robust win-stay lose-shift (WSLS) pattern — repeating a choice more often after reward than after no reward — despite the environment being uncontrollable by design. This raises the question of what, if anything, limits this automatic credit assignment. One candidate is inhibitory control: suppressing an unwanted, automatically triggered learning process on a trial-by-trial basis is itself a demanding executive operation, so participants with greater spare working-memory (WM) capacity should show a weaker reward effect on staying. An exploratory two-stage analysis in the original sample (correlating each participant's subject-level WSLS coefficient with their WM capacity, K) found a negative but statistically underpowered relationship (slope median = −0.79, pd = 86.5%). The present analysis reframes this as a single trial-level Bayesian model: does the effect of previous-trial reward on the probability of staying (Level 1) depend on participants' working memory capacity K (Level 2), i.e., a reward × K cross-level interaction?</w:t>
      </w:r>
    </w:p>
    <w:p>
      <w:pPr>
        <w:pStyle w:val="Heading1"/>
        <w:spacing w:after="100" w:before="160" w:line="360" w:lineRule="auto"/>
      </w:pPr>
      <w:r>
        <w:rPr>
          <w:rFonts w:ascii="Calibri" w:cs="Calibri" w:eastAsia="Calibri" w:hAnsi="Calibri"/>
          <w:b/>
          <w:bCs/>
          <w:sz w:val="26"/>
          <w:szCs w:val="26"/>
        </w:rPr>
        <w:t xml:space="preserve">Method and Results</w:t>
      </w:r>
    </w:p>
    <w:p>
      <w:pPr>
        <w:pStyle w:val="Heading2"/>
        <w:spacing w:after="100" w:before="160" w:line="360" w:lineRule="auto"/>
      </w:pPr>
      <w:r>
        <w:rPr>
          <w:rFonts w:ascii="Calibri" w:cs="Calibri" w:eastAsia="Calibri" w:hAnsi="Calibri"/>
          <w:b/>
          <w:bCs/>
          <w:sz w:val="23"/>
          <w:szCs w:val="23"/>
        </w:rPr>
        <w:t xml:space="preserve">Data structure</w:t>
      </w:r>
    </w:p>
    <w:p>
      <w:pPr>
        <w:spacing w:after="120" w:line="360" w:lineRule="auto"/>
      </w:pPr>
      <w:r>
        <w:rPr>
          <w:rFonts w:ascii="Calibri" w:cs="Calibri" w:eastAsia="Calibri" w:hAnsi="Calibri"/>
          <w:sz w:val="22"/>
          <w:szCs w:val="22"/>
        </w:rPr>
        <w:t xml:space="preserve">Data come from the fourth (largest, corrected-timing) pilot of an explicitly uncontrollable three-armed bandit task: N = 35 participants, 135–144 valid trials each (M = 143.6, 5,025 trials total) after excluding trials with an invalid or timed-out response on either the current or the immediately preceding trial. Level 1 (trial, nested within person): reward (0/1, outcome of the previous trial) predicts stay (0/1, whether the same machine was chosen again) — the dependent variable. Level 2 (person): working memory capacity K, estimated via Cowan's formula from a visual change-detection task, is fixed across the session and grand-mean centered (K_c) before use. Because reward varies trial-to-trial within a person while K is a between-person constant, a reward × K_c interaction is a genuine cross-level interaction and cannot be tested with repeated-measures ANOVA: K is a continuous individual-difference measure that a median split would degrade, the DV is binary at the trial level rather than a per-condition proportion, and trial counts are unbalanced across participants due to occasional response timeouts.</w:t>
      </w:r>
    </w:p>
    <w:p>
      <w:pPr>
        <w:pStyle w:val="Heading2"/>
        <w:spacing w:after="100" w:before="160" w:line="360" w:lineRule="auto"/>
      </w:pPr>
      <w:r>
        <w:rPr>
          <w:rFonts w:ascii="Calibri" w:cs="Calibri" w:eastAsia="Calibri" w:hAnsi="Calibri"/>
          <w:b/>
          <w:bCs/>
          <w:sz w:val="23"/>
          <w:szCs w:val="23"/>
        </w:rPr>
        <w:t xml:space="preserve">Model specification</w:t>
      </w:r>
    </w:p>
    <w:p>
      <w:pPr>
        <w:spacing w:after="120" w:line="360" w:lineRule="auto"/>
      </w:pPr>
      <w:r>
        <w:rPr>
          <w:rFonts w:ascii="Calibri" w:cs="Calibri" w:eastAsia="Calibri" w:hAnsi="Calibri"/>
          <w:sz w:val="22"/>
          <w:szCs w:val="22"/>
        </w:rPr>
        <w:t xml:space="preserve">Model 0 (unconditional, for the ICC): Level 1 logit(P(stayᵢⱼ)) = β₀ⱼ; Level 2 β₀ⱼ = γ₀₀ + u₀ⱼ. brms: stay ~ 1 + (1 | participant).</w:t>
      </w:r>
    </w:p>
    <w:p>
      <w:pPr>
        <w:spacing w:after="120" w:line="360" w:lineRule="auto"/>
      </w:pPr>
      <w:r>
        <w:rPr>
          <w:rFonts w:ascii="Calibri" w:cs="Calibri" w:eastAsia="Calibri" w:hAnsi="Calibri"/>
          <w:sz w:val="22"/>
          <w:szCs w:val="22"/>
        </w:rPr>
        <w:t xml:space="preserve">Model 1 (reward only): Level 1 logit(P(stayᵢⱼ)) = β₀ⱼ + β₁ⱼ·rewardᵢⱼ; Level 2 β₀ⱼ = γ₀₀ + u₀ⱼ, β₁ⱼ = γ₁₀ + u₁ⱼ. brms: stay ~ reward + (reward | participant).</w:t>
      </w:r>
    </w:p>
    <w:p>
      <w:pPr>
        <w:spacing w:after="120" w:line="360" w:lineRule="auto"/>
      </w:pPr>
      <w:r>
        <w:rPr>
          <w:rFonts w:ascii="Calibri" w:cs="Calibri" w:eastAsia="Calibri" w:hAnsi="Calibri"/>
          <w:sz w:val="22"/>
          <w:szCs w:val="22"/>
        </w:rPr>
        <w:t xml:space="preserve">Model 2 (reward × K_c, key model): Level 2 β₀ⱼ = γ₀₀ + γ₀₁·K_cⱼ + u₀ⱼ, β₁ⱼ = γ₁₀ + γ₁₁·K_cⱼ + u₁ⱼ, giving logit(P(stay)) = γ₀₀ + γ₁₀·reward + γ₀₁·K_c + γ₁₁·(reward×K_c) + u₀ⱼ + u₁ⱼ·reward. brms: stay ~ reward * K_c + (reward | participant).</w:t>
      </w:r>
    </w:p>
    <w:p>
      <w:pPr>
        <w:spacing w:after="120" w:line="360" w:lineRule="auto"/>
      </w:pPr>
      <w:r>
        <w:rPr>
          <w:rFonts w:ascii="Calibri" w:cs="Calibri" w:eastAsia="Calibri" w:hAnsi="Calibri"/>
          <w:sz w:val="22"/>
          <w:szCs w:val="22"/>
        </w:rPr>
        <w:t xml:space="preserve">All models used family = bernoulli() with a logit link, 4 chains × 3,000 iterations (1,000 warmup), rstan backend, and default weakly-informative brms priors. For Models 1 and 2 we first fit the maximal random-effects structure (random intercept and reward slope with their correlation), with a pre-registered fallback to a random-intercept-only structure had it failed to converge (any post-warmup divergent transitions, or any R̂ ≥ 1.01). Both maximal models converged cleanly (0 divergent transitions; all R̂ ≤ 1.00; bulk/tail ESS ≥ 778), so the maximal structure was retained for both and the fallback was not needed.</w:t>
      </w:r>
    </w:p>
    <w:p>
      <w:pPr>
        <w:pStyle w:val="Heading2"/>
        <w:spacing w:after="100" w:before="160" w:line="360" w:lineRule="auto"/>
      </w:pPr>
      <w:r>
        <w:rPr>
          <w:rFonts w:ascii="Calibri" w:cs="Calibri" w:eastAsia="Calibri" w:hAnsi="Calibri"/>
          <w:b/>
          <w:bCs/>
          <w:sz w:val="23"/>
          <w:szCs w:val="23"/>
        </w:rPr>
        <w:t xml:space="preserve">Model comparison</w:t>
      </w:r>
    </w:p>
    <w:p>
      <w:pPr>
        <w:spacing w:after="120" w:line="360" w:lineRule="auto"/>
      </w:pPr>
      <w:r>
        <w:rPr>
          <w:rFonts w:ascii="Calibri" w:cs="Calibri" w:eastAsia="Calibri" w:hAnsi="Calibri"/>
          <w:sz w:val="22"/>
          <w:szCs w:val="22"/>
        </w:rPr>
        <w:t xml:space="preserve">Model 2 was compared with Model 1 via approximate leave-one-out cross-validation. The two models were indistinguishable in out-of-sample predictive accuracy (ELPD difference = −0.2, SE = 0.5, nominally favoring Model 2): adding the interaction did not measurably improve prediction at this sample size. Marginal R² (fixed effects only) rose slightly from Model 1 (.055, 95% CrI [.008, .120]) to Model 2 (.072, [.021, .138]); conditional R² (fixed + random effects) was virtually identical for both (.275 vs. .276), reflecting that most explained variance in staying is carried by between-subject random effects rather than by any fixed effect — consistent with the ICC reported below.</w:t>
      </w:r>
    </w:p>
    <w:p>
      <w:pPr>
        <w:pStyle w:val="Heading2"/>
        <w:spacing w:after="100" w:before="160" w:line="360" w:lineRule="auto"/>
      </w:pPr>
      <w:r>
        <w:rPr>
          <w:rFonts w:ascii="Calibri" w:cs="Calibri" w:eastAsia="Calibri" w:hAnsi="Calibri"/>
          <w:b/>
          <w:bCs/>
          <w:sz w:val="23"/>
          <w:szCs w:val="23"/>
        </w:rPr>
        <w:t xml:space="preserve">Results</w:t>
      </w:r>
    </w:p>
    <w:p>
      <w:pPr>
        <w:spacing w:after="120" w:line="360" w:lineRule="auto"/>
      </w:pPr>
      <w:r>
        <w:rPr>
          <w:rFonts w:ascii="Calibri" w:cs="Calibri" w:eastAsia="Calibri" w:hAnsi="Calibri"/>
          <w:sz w:val="22"/>
          <w:szCs w:val="22"/>
        </w:rPr>
        <w:t xml:space="preserve">In the unconditional model (Model 0: γ₀₀ = −0.59 [−0.93, −0.24], √τ₀₀ = 0.98 [0.76, 1.30]), the latent-threshold ICC was .22 [.15, .34]: about 22% of the total variance in the log-odds of staying is between-person, and the remaining 78% is trial-to-trial variability within a person.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700"/>
        <w:gridCol w:w="1200"/>
      </w:tblGrid>
      <w:tr>
        <w:tc>
          <w:tcPr>
            <w:tcW w:type="dxa" w:w="18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Parameter</w:t>
            </w:r>
          </w:p>
        </w:tc>
        <w:tc>
          <w:tcPr>
            <w:tcW w:type="dxa" w:w="27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Model 1</w:t>
            </w:r>
          </w:p>
        </w:tc>
        <w:tc>
          <w:tcPr>
            <w:tcW w:type="dxa" w:w="27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Model 2</w:t>
            </w:r>
          </w:p>
        </w:tc>
        <w:tc>
          <w:tcPr>
            <w:tcW w:type="dxa" w:w="12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pd (M2)</w:t>
            </w:r>
          </w:p>
        </w:tc>
      </w:tr>
      <w:tr>
        <w:tc>
          <w:tcPr>
            <w:tcW w:type="dxa" w:w="18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Fixed effects</w:t>
            </w:r>
          </w:p>
        </w:tc>
        <w:tc>
          <w:tcPr>
            <w:tcW w:type="dxa" w:w="27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
            </w:r>
          </w:p>
        </w:tc>
        <w:tc>
          <w:tcPr>
            <w:tcW w:type="dxa" w:w="27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
            </w:r>
          </w:p>
        </w:tc>
        <w:tc>
          <w:tcPr>
            <w:tcW w:type="dxa" w:w="12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Intercept (γ00)</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−1.12 [−1.59, −0.65]</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−1.12 [−1.58, −0.67]</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&gt;.999</w:t>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reward (γ10)</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1.00 [0.39, 1.60]</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0.99 [0.38, 1.63]</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&gt;.999</w:t>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K_c (γ01)</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0.29 [−0.13, 0.72]</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.916</w:t>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reward × K_c (γ11)</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−0.41 [−0.97, 0.14]</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.931</w:t>
            </w:r>
          </w:p>
        </w:tc>
      </w:tr>
      <w:tr>
        <w:tc>
          <w:tcPr>
            <w:tcW w:type="dxa" w:w="18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Random effects</w:t>
            </w:r>
          </w:p>
        </w:tc>
        <w:tc>
          <w:tcPr>
            <w:tcW w:type="dxa" w:w="27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
            </w:r>
          </w:p>
        </w:tc>
        <w:tc>
          <w:tcPr>
            <w:tcW w:type="dxa" w:w="27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
            </w:r>
          </w:p>
        </w:tc>
        <w:tc>
          <w:tcPr>
            <w:tcW w:type="dxa" w:w="1200"/>
            <w:shd w:fill="E7E6E6" w:val="clear"/>
            <w:tcMar>
              <w:top w:type="dxa" w:w="40"/>
              <w:left w:type="dxa" w:w="80"/>
              <w:bottom w:type="dxa" w:w="40"/>
              <w:right w:type="dxa" w:w="80"/>
            </w:tcMar>
          </w:tcPr>
          <w:p>
            <w:pPr>
              <w:spacing w:after="0" w:line="240" w:lineRule="auto"/>
            </w:pPr>
            <w:r>
              <w:rPr>
                <w:rFonts w:ascii="Calibri" w:cs="Calibri" w:eastAsia="Calibri" w:hAnsi="Calibri"/>
                <w:b/>
                <w:bCs/>
                <w:sz w:val="18"/>
                <w:szCs w:val="18"/>
              </w:rPr>
              <w:t xml:space="preserve"/>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SD(Intercept)</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1.37 [1.03, 1.82]</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1.36 [1.01, 1.83]</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w:t>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SD(reward)</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1.82 [1.40, 2.37]</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1.80 [1.37, 2.38]</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w:t>
            </w:r>
          </w:p>
        </w:tc>
      </w:tr>
      <w:tr>
        <w:tc>
          <w:tcPr>
            <w:tcW w:type="dxa" w:w="18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corr(u0,u1)</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−0.52 [−0.75, −0.22]</w:t>
            </w:r>
          </w:p>
        </w:tc>
        <w:tc>
          <w:tcPr>
            <w:tcW w:type="dxa" w:w="27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−0.48 [−0.73, −0.15]</w:t>
            </w:r>
          </w:p>
        </w:tc>
        <w:tc>
          <w:tcPr>
            <w:tcW w:type="dxa" w:w="1200"/>
            <w:tcMar>
              <w:top w:type="dxa" w:w="40"/>
              <w:left w:type="dxa" w:w="80"/>
              <w:bottom w:type="dxa" w:w="40"/>
              <w:right w:type="dxa" w:w="80"/>
            </w:tcMar>
          </w:tcPr>
          <w:p>
            <w:pPr>
              <w:spacing w:after="0" w:line="240" w:lineRule="auto"/>
            </w:pPr>
            <w:r>
              <w:rPr>
                <w:rFonts w:ascii="Calibri" w:cs="Calibri" w:eastAsia="Calibri" w:hAnsi="Calibri"/>
                <w:b w:val="false"/>
                <w:bCs w:val="false"/>
                <w:sz w:val="18"/>
                <w:szCs w:val="18"/>
              </w:rPr>
              <w:t xml:space="preserve">—</w:t>
            </w:r>
          </w:p>
        </w:tc>
      </w:tr>
    </w:tbl>
    <w:p>
      <w:pPr>
        <w:spacing w:after="120" w:before="120" w:line="360" w:lineRule="auto"/>
      </w:pPr>
      <w:r>
        <w:rPr>
          <w:rFonts w:ascii="Calibri" w:cs="Calibri" w:eastAsia="Calibri" w:hAnsi="Calibri"/>
          <w:i/>
          <w:iCs/>
          <w:sz w:val="18"/>
          <w:szCs w:val="18"/>
        </w:rPr>
        <w:t xml:space="preserve">Table 1. Posterior medians [95% credible intervals] for fixed and random effects; pd = probability of direction, Model 2.</w:t>
      </w:r>
    </w:p>
    <w:p>
      <w:pPr>
        <w:spacing w:after="120" w:line="360" w:lineRule="auto"/>
      </w:pPr>
      <w:r>
        <w:rPr>
          <w:rFonts w:ascii="Calibri" w:cs="Calibri" w:eastAsia="Calibri" w:hAnsi="Calibri"/>
          <w:sz w:val="22"/>
          <w:szCs w:val="22"/>
        </w:rPr>
        <w:t xml:space="preserve">The reward main effect was strongly positive and near-identical across both models (Model 1: γ₁₀ = 1.00 [0.39, 1.60], pd &gt; .999; Model 2: γ₁₀ = 0.99 [0.38, 1.63], pd &gt; .999): after a rewarded trial, the odds of repeating the same machine were roughly e^1.0 ≈ 2.7 times higher than after an unrewarded trial — the core WSLS effect, replicated here at the trial level in the full 35-participant sample. The K_c main effect was positive but not conventionally credible (γ₀₁ = 0.29 [−0.13, 0.72], pd = .916). The reward × K_c interaction — the parameter that directly answers the research question — was negative, with 93.1% of its posterior mass below zero (γ₁₁ = −0.41 [−0.97, 0.14], pd = .931): higher WM capacity was associated with a weaker reward effect on staying, consistent with the inhibitory-control hypothesis, but the 95% credible interval still includes zero. Figure 1 shows this pattern via simple slopes at ±1 SD of K: predicted P(stay) rose from .20 to .51 after reward at low K (a .31 increase) but only from .32 to .44 at high K (a .12 increase).</w:t>
      </w:r>
    </w:p>
    <w:p>
      <w:pPr>
        <w:spacing w:after="120" w:line="360" w:lineRule="auto"/>
      </w:pPr>
      <w:r>
        <w:rPr>
          <w:rFonts w:ascii="Calibri" w:cs="Calibri" w:eastAsia="Calibri" w:hAnsi="Calibri"/>
          <w:sz w:val="22"/>
          <w:szCs w:val="22"/>
        </w:rPr>
        <w:t xml:space="preserve">Between-subject variability was substantial for both the baseline tendency to stay (√τ₀₀ = 1.36 [1.01, 1.83]) and the reward-sensitivity slope (√τ₁₁ = 1.80 [1.37, 2.38]), and the two were negatively correlated (r(u₀,u₁) = −0.48 [−0.73, −0.15]): participants with a higher baseline tendency to stay showed a comparatively smaller boost in staying after reward, a pattern consistent with a ceiling on P(stay).</w:t>
      </w:r>
    </w:p>
    <w:p>
      <w:pPr>
        <w:spacing w:after="40" w:before="100" w:line="360" w:lineRule="auto"/>
        <w:jc w:val="center"/>
      </w:pPr>
      <w:r>
        <w:drawing>
          <wp:inline distT="0" distB="0" distL="0" distR="0">
            <wp:extent cx="3429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743200"/>
                    </a:xfrm>
                    <a:prstGeom prst="rect">
                      <a:avLst/>
                    </a:prstGeom>
                  </pic:spPr>
                </pic:pic>
              </a:graphicData>
            </a:graphic>
          </wp:inline>
        </w:drawing>
      </w:r>
    </w:p>
    <w:p>
      <w:pPr>
        <w:spacing w:after="160" w:line="360" w:lineRule="auto"/>
        <w:jc w:val="center"/>
      </w:pPr>
      <w:r>
        <w:rPr>
          <w:rFonts w:ascii="Calibri" w:cs="Calibri" w:eastAsia="Calibri" w:hAnsi="Calibri"/>
          <w:i/>
          <w:iCs/>
          <w:sz w:val="18"/>
          <w:szCs w:val="18"/>
        </w:rPr>
        <w:t xml:space="preserve">Figure 1. Model-predicted P(stay) as a function of previous-trial reward, at ±1 SD of working memory capacity K (population-level predictions from Model 2). Error bars are 95% credible intervals.</w:t>
      </w:r>
    </w:p>
    <w:p>
      <w:pPr>
        <w:pStyle w:val="Heading1"/>
        <w:spacing w:after="100" w:before="160" w:line="360" w:lineRule="auto"/>
      </w:pPr>
      <w:r>
        <w:rPr>
          <w:rFonts w:ascii="Calibri" w:cs="Calibri" w:eastAsia="Calibri" w:hAnsi="Calibri"/>
          <w:b/>
          <w:bCs/>
          <w:sz w:val="26"/>
          <w:szCs w:val="26"/>
        </w:rPr>
        <w:t xml:space="preserve">General Discussion</w:t>
      </w:r>
    </w:p>
    <w:p>
      <w:pPr>
        <w:spacing w:after="120" w:line="360" w:lineRule="auto"/>
      </w:pPr>
      <w:r>
        <w:rPr>
          <w:rFonts w:ascii="Calibri" w:cs="Calibri" w:eastAsia="Calibri" w:hAnsi="Calibri"/>
          <w:sz w:val="22"/>
          <w:szCs w:val="22"/>
        </w:rPr>
        <w:t xml:space="preserve">This analysis reframes an exploratory, likely underpowered two-stage correlation from the original seminar project as a single, properly specified cross-level interaction fit directly to all 5,025 trials from all 35 participants. The result is directionally consistent with the inhibitory-control account — a negative reward × K interaction with pd = 93.1%, slightly stronger evidence than the original two-stage approach (pd = 86.5%) — but it falls short of being credibly different from zero by conventional standards, and the LOO comparison shows no reliable gain in predictive accuracy from adding it. Taken together with the robust main effect of reward and the sizeable ICC (22% between-person variance, plus a further substantial between-subject variance component in the reward slope itself), the honest conclusion is that automatic reward-driven staying under known non-contingency is close to universal across the WM range studied here, with only a modest, non-decisive hint that people with more spare working-memory capacity resist it slightly more. N = 35 is a stronger test than the original post-hoc correlation — it models the interaction directly in one step rather than in two — but it remains modest for a cross-level interaction of this apparent size, and a properly powered replication is needed before drawing a firm conclusion either way. More broadly, the pattern fits a view of automatic credit assignment as not simply a compensable resource limitation: even among higher-capacity participants, the reward effect on staying, while attenuated, remains clearly present.</w:t>
      </w:r>
    </w:p>
    <w:sectPr>
      <w:pgSz w:w="11908" w:h="16833"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444e0c1e3bc09e8d92fc06035da07625807bab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2026-08-29T16:40:42.365Z</dcterms:created>
  <dcterms:modified xsi:type="dcterms:W3CDTF">2026-08-29T16:40:42.366Z</dcterms:modified>
</cp:coreProperties>
</file>

<file path=docProps/custom.xml><?xml version="1.0" encoding="utf-8"?>
<Properties xmlns="http://schemas.openxmlformats.org/officeDocument/2006/custom-properties" xmlns:vt="http://schemas.openxmlformats.org/officeDocument/2006/docPropsVTypes"/>
</file>