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pPr>
      <w:r>
        <w:rPr>
          <w:b/>
          <w:i w:val="0"/>
          <w:sz w:val="26"/>
        </w:rPr>
        <w:t>Working Memory Capacity and Automatic Reward-Driven Choice Under Known Non-Contingency</w:t>
      </w:r>
    </w:p>
    <w:p>
      <w:pPr>
        <w:spacing w:line="360" w:lineRule="auto" w:before="0" w:after="160"/>
        <w:jc w:val="center"/>
      </w:pPr>
      <w:r>
        <w:rPr>
          <w:b w:val="0"/>
          <w:i w:val="0"/>
          <w:sz w:val="20"/>
        </w:rPr>
        <w:t>Alon Kagan — Hierarchical Models, Final Assignment</w:t>
      </w:r>
    </w:p>
    <w:p>
      <w:pPr>
        <w:spacing w:line="360" w:lineRule="auto" w:before="120" w:after="60"/>
      </w:pPr>
      <w:r>
        <w:rPr>
          <w:b/>
          <w:i w:val="0"/>
          <w:sz w:val="24"/>
        </w:rPr>
        <w:t>Introduction</w:t>
      </w:r>
    </w:p>
    <w:p>
      <w:pPr>
        <w:spacing w:line="360" w:lineRule="auto" w:before="0" w:after="40"/>
      </w:pPr>
      <w:r>
        <w:rPr>
          <w:b w:val="0"/>
          <w:i w:val="0"/>
          <w:sz w:val="22"/>
        </w:rPr>
        <w:t>Human value assignment is largely automatic: a choice followed by reward becomes more likely to repeat even when the person knows the outcome carried no information — the mechanism invoked to explain persistence at slot machines and at strategies that demonstrably do not work. In a three-armed bandit in which every option was instructed to pay out with the same fixed probability, participants still showed a robust win-stay lose-shift (WSLS) pattern, repeating a choice more often after reward, although the environment was uncontrollable by design. What limits this automatic credit assignment? One candidate is executive control: suppressing an automatically triggered learning signal trial by trial is itself demanding, so participants with more spare working-memory (WM) capacity should show a weaker reward effect on staying. A two-stage analysis of these data is consistent with that idea but weak (the correlation between each participant's observed reward effect and their capacity K is r = −.24). Here we ask the same question in one step, at the trial level: does the effect of previous-trial reward on the probability of staying (Level 1) depend on WM capacity (Level 2) — a reward × K cross-level interaction?</w:t>
      </w:r>
    </w:p>
    <w:p>
      <w:pPr>
        <w:spacing w:line="360" w:lineRule="auto" w:before="120" w:after="60"/>
      </w:pPr>
      <w:r>
        <w:rPr>
          <w:b/>
          <w:i w:val="0"/>
          <w:sz w:val="24"/>
        </w:rPr>
        <w:t>Method and Results</w:t>
      </w:r>
    </w:p>
    <w:p>
      <w:pPr>
        <w:spacing w:line="360" w:lineRule="auto" w:before="100" w:after="40"/>
      </w:pPr>
      <w:r>
        <w:rPr>
          <w:b w:val="0"/>
          <w:i/>
          <w:sz w:val="22"/>
        </w:rPr>
        <w:t>Data structure</w:t>
      </w:r>
    </w:p>
    <w:p>
      <w:pPr>
        <w:spacing w:line="360" w:lineRule="auto" w:before="0" w:after="40"/>
      </w:pPr>
      <w:r>
        <w:rPr>
          <w:b w:val="0"/>
          <w:i w:val="0"/>
          <w:sz w:val="22"/>
        </w:rPr>
        <w:t xml:space="preserve">Data come from the fourth (largest, corrected-timing) pilot of an explicitly uncontrollable three-armed bandit: N = 35 participants (no exclusions), 135–144 usable trials each (M = 143.6; 5,025 in total) after dropping the first trial of each of the six blocks and any trial whose own or preceding response was invalid or timed out. </w:t>
      </w:r>
      <w:r>
        <w:rPr>
          <w:b/>
          <w:i w:val="0"/>
          <w:sz w:val="22"/>
        </w:rPr>
        <w:t>Level 1 (trial, nested within person):</w:t>
      </w:r>
      <w:r>
        <w:rPr>
          <w:b w:val="0"/>
          <w:i w:val="0"/>
          <w:sz w:val="22"/>
        </w:rPr>
        <w:t xml:space="preserve"> </w:t>
      </w:r>
      <w:r>
        <w:rPr>
          <w:b w:val="0"/>
          <w:i/>
          <w:sz w:val="22"/>
        </w:rPr>
        <w:t>reward</w:t>
      </w:r>
      <w:r>
        <w:rPr>
          <w:b w:val="0"/>
          <w:i w:val="0"/>
          <w:sz w:val="22"/>
        </w:rPr>
        <w:t xml:space="preserve"> (0/1, the previous trial's outcome) predicts </w:t>
      </w:r>
      <w:r>
        <w:rPr>
          <w:b w:val="0"/>
          <w:i/>
          <w:sz w:val="22"/>
        </w:rPr>
        <w:t>stay</w:t>
      </w:r>
      <w:r>
        <w:rPr>
          <w:b w:val="0"/>
          <w:i w:val="0"/>
          <w:sz w:val="22"/>
        </w:rPr>
        <w:t xml:space="preserve"> (0/1, whether the same machine was chosen again), the dependent variable. </w:t>
      </w:r>
      <w:r>
        <w:rPr>
          <w:b/>
          <w:i w:val="0"/>
          <w:sz w:val="22"/>
        </w:rPr>
        <w:t>Level 2 (person):</w:t>
      </w:r>
      <w:r>
        <w:rPr>
          <w:b w:val="0"/>
          <w:i w:val="0"/>
          <w:sz w:val="22"/>
        </w:rPr>
        <w:t xml:space="preserve"> WM capacity </w:t>
      </w:r>
      <w:r>
        <w:rPr>
          <w:b w:val="0"/>
          <w:i/>
          <w:sz w:val="22"/>
        </w:rPr>
        <w:t>K</w:t>
      </w:r>
      <w:r>
        <w:rPr>
          <w:b w:val="0"/>
          <w:i w:val="0"/>
          <w:sz w:val="22"/>
        </w:rPr>
        <w:t>, estimated by Cowan's (2001) formula from a change-detection task, is constant across the session (M = 1.84, SD = 1.17, range −0.49 to 3.89) and grand-mean centred (</w:t>
      </w:r>
      <w:r>
        <w:rPr>
          <w:b w:val="0"/>
          <w:i/>
          <w:sz w:val="22"/>
        </w:rPr>
        <w:t>K_c</w:t>
      </w:r>
      <w:r>
        <w:rPr>
          <w:b w:val="0"/>
          <w:i w:val="0"/>
          <w:sz w:val="22"/>
        </w:rPr>
        <w:t xml:space="preserve">). Because </w:t>
      </w:r>
      <w:r>
        <w:rPr>
          <w:b w:val="0"/>
          <w:i/>
          <w:sz w:val="22"/>
        </w:rPr>
        <w:t>reward</w:t>
      </w:r>
      <w:r>
        <w:rPr>
          <w:b w:val="0"/>
          <w:i w:val="0"/>
          <w:sz w:val="22"/>
        </w:rPr>
        <w:t xml:space="preserve"> varies within a person while </w:t>
      </w:r>
      <w:r>
        <w:rPr>
          <w:b w:val="0"/>
          <w:i/>
          <w:sz w:val="22"/>
        </w:rPr>
        <w:t>K</w:t>
      </w:r>
      <w:r>
        <w:rPr>
          <w:b w:val="0"/>
          <w:i w:val="0"/>
          <w:sz w:val="22"/>
        </w:rPr>
        <w:t xml:space="preserve"> is a between-person constant, reward × K_c is a genuine cross-level interaction, and it cannot be tested by repeated-measures ANOVA: K is continuous and a median split would degrade it, the dependent variable is binary at the trial level rather than a per-condition proportion, and trial counts are unbalanced.</w:t>
      </w:r>
    </w:p>
    <w:p>
      <w:pPr>
        <w:spacing w:line="360" w:lineRule="auto" w:before="100" w:after="40"/>
      </w:pPr>
      <w:r>
        <w:rPr>
          <w:b w:val="0"/>
          <w:i/>
          <w:sz w:val="22"/>
        </w:rPr>
        <w:t>Model specification</w:t>
      </w:r>
    </w:p>
    <w:p>
      <w:pPr>
        <w:spacing w:line="360" w:lineRule="auto" w:before="0" w:after="40"/>
      </w:pPr>
      <w:r>
        <w:rPr>
          <w:b/>
          <w:i w:val="0"/>
          <w:sz w:val="22"/>
        </w:rPr>
        <w:t>Model 0</w:t>
      </w:r>
      <w:r>
        <w:rPr>
          <w:b w:val="0"/>
          <w:i w:val="0"/>
          <w:sz w:val="22"/>
        </w:rPr>
        <w:t xml:space="preserve"> (unconditional). L1: logit(P(stay_ij)) = β0j; L2: β0j = γ00 + U0j. In brms: stay ~ 1 + (1 | participant).</w:t>
      </w:r>
    </w:p>
    <w:p>
      <w:pPr>
        <w:spacing w:line="360" w:lineRule="auto" w:before="0" w:after="40"/>
      </w:pPr>
      <w:r>
        <w:rPr>
          <w:b/>
          <w:i w:val="0"/>
          <w:sz w:val="22"/>
        </w:rPr>
        <w:t>Model 1</w:t>
      </w:r>
      <w:r>
        <w:rPr>
          <w:b w:val="0"/>
          <w:i w:val="0"/>
          <w:sz w:val="22"/>
        </w:rPr>
        <w:t xml:space="preserve"> (reward). L1: logit(P(stay_ij)) = β0j + β1j·reward_ij; L2: β0j = γ00 + U0j, β1j = γ10 + U1j. In brms: stay ~ reward + (reward | participant).</w:t>
      </w:r>
    </w:p>
    <w:p>
      <w:pPr>
        <w:spacing w:line="360" w:lineRule="auto" w:before="0" w:after="40"/>
      </w:pPr>
      <w:r>
        <w:rPr>
          <w:b/>
          <w:i w:val="0"/>
          <w:sz w:val="22"/>
        </w:rPr>
        <w:t>Model 2</w:t>
      </w:r>
      <w:r>
        <w:rPr>
          <w:b w:val="0"/>
          <w:i w:val="0"/>
          <w:sz w:val="22"/>
        </w:rPr>
        <w:t xml:space="preserve"> (reward × K_c; the key model). L2: β0j = γ00 + γ01·K_cj + U0j, β1j = γ10 + γ11·K_cj + U1j, so that logit(P(stay_ij)) = (γ00 + γ01·K_cj + U0j) + (γ10 + γ11·K_cj + U1j)·reward_ij. In brms: stay ~ reward * K_c + (reward | participant).</w:t>
      </w:r>
    </w:p>
    <w:p>
      <w:pPr>
        <w:spacing w:line="360" w:lineRule="auto" w:before="0" w:after="40"/>
      </w:pPr>
      <w:r>
        <w:rPr>
          <w:b w:val="0"/>
          <w:i/>
          <w:sz w:val="22"/>
        </w:rPr>
        <w:t>reward</w:t>
      </w:r>
      <w:r>
        <w:rPr>
          <w:b w:val="0"/>
          <w:i w:val="0"/>
          <w:sz w:val="22"/>
        </w:rPr>
        <w:t xml:space="preserve"> is a Level 1 predictor, so it takes a random slope (Barr et al., 2013), and U0j and U1j may covary. A measured Level 1 predictor normally has to be split into within- and between-person components, but reward was delivered at a fixed, choice-independent probability and its between-person ICC is .001 [.000, .005]: there is nothing to separate, and its 0 point is already meaningful, so it enters uncentred. Models were fitted in brms (bernoulli, logit), 4 chains × 4,000 iterations (1,500 warmup), with explicit weakly-informative priors: Normal(0, 1.5) on slopes, Student-t(3, 0, 2.5) on the intercept and random-effect SDs, LKJ(2) on their correlation — brms' default flat prior on slopes would leave the interaction unregularised and Bayes factors undefined. Models 1 and 2 were fitted maximal, with a pre-specified fallback to random intercepts only had they not converged; all converged cleanly (0 divergent transitions, R̂ ≤ 1.008, minimum bulk/tail ESS = 663), so the fallback was not needed.</w:t>
      </w:r>
    </w:p>
    <w:p>
      <w:pPr>
        <w:spacing w:line="360" w:lineRule="auto" w:before="100" w:after="40"/>
      </w:pPr>
      <w:r>
        <w:rPr>
          <w:b w:val="0"/>
          <w:i/>
          <w:sz w:val="22"/>
        </w:rPr>
        <w:t>Model comparison</w:t>
      </w:r>
    </w:p>
    <w:p>
      <w:pPr>
        <w:spacing w:line="360" w:lineRule="auto" w:before="0" w:after="40"/>
      </w:pPr>
      <w:r>
        <w:rPr>
          <w:b w:val="0"/>
          <w:i w:val="0"/>
          <w:sz w:val="22"/>
        </w:rPr>
        <w:t xml:space="preserve">Model 2 was compared with Model 1 three ways. Approximate leave-one-out cross-validation showed no difference in predictive accuracy (ΔELPD = −0.1, SE = 0.5; all Pareto k̂ &lt; .5) — but leaving out one </w:t>
      </w:r>
      <w:r>
        <w:rPr>
          <w:b w:val="0"/>
          <w:i/>
          <w:sz w:val="22"/>
        </w:rPr>
        <w:t>trial</w:t>
      </w:r>
      <w:r>
        <w:rPr>
          <w:b w:val="0"/>
          <w:i w:val="0"/>
          <w:sz w:val="22"/>
        </w:rPr>
        <w:t xml:space="preserve"> at a time is nearly blind to a between-person moderator, since a person's remaining ~143 trials already pin down their random effects. Holding out whole </w:t>
      </w:r>
      <w:r>
        <w:rPr>
          <w:b w:val="0"/>
          <w:i/>
          <w:sz w:val="22"/>
        </w:rPr>
        <w:t>participants</w:t>
      </w:r>
      <w:r>
        <w:rPr>
          <w:b w:val="0"/>
          <w:i w:val="0"/>
          <w:sz w:val="22"/>
        </w:rPr>
        <w:t xml:space="preserve"> instead (10-fold, integrating over the random effects of held-out people) gives ΔELPD = 0.0, SE = 1.5: no gain either. A Savage–Dickey ratio at γ11 = 0 gives BF01 = 1.88, anecdotal evidence if anything against it. Marginal R² rose from .046 [.006, .120] to .064 [.020, .130] while conditional R² was .275 in both, so nearly all explained variance is carried by the random effects. The effect size that fits a cross-level interaction is the pseudo-R² for the </w:t>
      </w:r>
      <w:r>
        <w:rPr>
          <w:b w:val="0"/>
          <w:i/>
          <w:sz w:val="22"/>
        </w:rPr>
        <w:t>random slope</w:t>
      </w:r>
      <w:r>
        <w:rPr>
          <w:b w:val="0"/>
          <w:i w:val="0"/>
          <w:sz w:val="22"/>
        </w:rPr>
        <w:t>: adding K_c reduced τ11 by only 3.6% (and τ00 by 3.1%).</w:t>
      </w:r>
    </w:p>
    <w:p>
      <w:pPr>
        <w:spacing w:line="360" w:lineRule="auto" w:before="100" w:after="40"/>
      </w:pPr>
      <w:r>
        <w:rPr>
          <w:b w:val="0"/>
          <w:i/>
          <w:sz w:val="22"/>
        </w:rPr>
        <w:t>Results</w:t>
      </w:r>
    </w:p>
    <w:p>
      <w:pPr>
        <w:keepNext/>
        <w:spacing w:line="360" w:lineRule="auto" w:before="0" w:after="40"/>
      </w:pPr>
      <w:r>
        <w:rPr>
          <w:b w:val="0"/>
          <w:i w:val="0"/>
          <w:sz w:val="22"/>
        </w:rPr>
        <w:t>In the unconditional model (γ00 = −0.59 [−0.92, −0.26], √τ00 = 0.98 [0.76, 1.30]) the latent-threshold ICC was .224 [.149, .338]: about 22% of the variance in the log-odds of staying is between-person, and the remaining 78% is the residual variance the logit link fixes at π²/3.</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pPr>
              <w:keepNext/>
              <w:spacing w:line="240" w:lineRule="auto" w:after="0" w:before="0"/>
            </w:pPr>
            <w:r/>
            <w:r>
              <w:rPr>
                <w:b/>
                <w:sz w:val="17"/>
              </w:rPr>
              <w:t>Parameter</w:t>
            </w:r>
          </w:p>
        </w:tc>
        <w:tc>
          <w:tcPr>
            <w:tcW w:type="dxa" w:w="2256"/>
          </w:tcPr>
          <w:p>
            <w:pPr>
              <w:keepNext/>
              <w:spacing w:line="240" w:lineRule="auto" w:after="0" w:before="0"/>
              <w:jc w:val="center"/>
            </w:pPr>
            <w:r/>
            <w:r>
              <w:rPr>
                <w:b/>
                <w:sz w:val="17"/>
              </w:rPr>
              <w:t>Model 1</w:t>
            </w:r>
          </w:p>
        </w:tc>
        <w:tc>
          <w:tcPr>
            <w:tcW w:type="dxa" w:w="2256"/>
          </w:tcPr>
          <w:p>
            <w:pPr>
              <w:keepNext/>
              <w:spacing w:line="240" w:lineRule="auto" w:after="0" w:before="0"/>
              <w:jc w:val="center"/>
            </w:pPr>
            <w:r/>
            <w:r>
              <w:rPr>
                <w:b/>
                <w:sz w:val="17"/>
              </w:rPr>
              <w:t>Model 2</w:t>
            </w:r>
          </w:p>
        </w:tc>
        <w:tc>
          <w:tcPr>
            <w:tcW w:type="dxa" w:w="2256"/>
          </w:tcPr>
          <w:p>
            <w:pPr>
              <w:keepNext/>
              <w:spacing w:line="240" w:lineRule="auto" w:after="0" w:before="0"/>
              <w:jc w:val="center"/>
            </w:pPr>
            <w:r/>
            <w:r>
              <w:rPr>
                <w:b/>
                <w:sz w:val="17"/>
              </w:rPr>
              <w:t>pd (M2)</w:t>
            </w:r>
          </w:p>
        </w:tc>
      </w:tr>
      <w:tr>
        <w:tc>
          <w:tcPr>
            <w:tcW w:type="dxa" w:w="2256"/>
          </w:tcPr>
          <w:p>
            <w:pPr>
              <w:keepNext/>
              <w:spacing w:line="240" w:lineRule="auto" w:after="0" w:before="0"/>
            </w:pPr>
            <w:r/>
            <w:r>
              <w:rPr>
                <w:b/>
                <w:sz w:val="17"/>
              </w:rPr>
              <w:t>Fixed effects</w:t>
            </w:r>
          </w:p>
        </w:tc>
        <w:tc>
          <w:tcPr>
            <w:tcW w:type="dxa" w:w="2256"/>
          </w:tcPr>
          <w:p>
            <w:pPr>
              <w:keepNext/>
              <w:spacing w:line="240" w:lineRule="auto" w:after="0" w:before="0"/>
              <w:jc w:val="center"/>
            </w:pPr>
            <w:r/>
            <w:r>
              <w:rPr>
                <w:b w:val="0"/>
                <w:sz w:val="17"/>
              </w:rPr>
            </w:r>
          </w:p>
        </w:tc>
        <w:tc>
          <w:tcPr>
            <w:tcW w:type="dxa" w:w="2256"/>
          </w:tcPr>
          <w:p>
            <w:pPr>
              <w:keepNext/>
              <w:spacing w:line="240" w:lineRule="auto" w:after="0" w:before="0"/>
              <w:jc w:val="center"/>
            </w:pPr>
            <w:r/>
            <w:r>
              <w:rPr>
                <w:b w:val="0"/>
                <w:sz w:val="17"/>
              </w:rPr>
            </w:r>
          </w:p>
        </w:tc>
        <w:tc>
          <w:tcPr>
            <w:tcW w:type="dxa" w:w="2256"/>
          </w:tcPr>
          <w:p>
            <w:pPr>
              <w:keepNext/>
              <w:spacing w:line="240" w:lineRule="auto" w:after="0" w:before="0"/>
              <w:jc w:val="center"/>
            </w:pPr>
            <w:r/>
            <w:r>
              <w:rPr>
                <w:b w:val="0"/>
                <w:sz w:val="17"/>
              </w:rPr>
            </w:r>
          </w:p>
        </w:tc>
      </w:tr>
      <w:tr>
        <w:tc>
          <w:tcPr>
            <w:tcW w:type="dxa" w:w="2256"/>
          </w:tcPr>
          <w:p>
            <w:pPr>
              <w:keepNext/>
              <w:spacing w:line="240" w:lineRule="auto" w:after="0" w:before="0"/>
            </w:pPr>
            <w:r/>
            <w:r>
              <w:rPr>
                <w:b w:val="0"/>
                <w:sz w:val="17"/>
              </w:rPr>
              <w:t>Intercept (γ00)</w:t>
            </w:r>
          </w:p>
        </w:tc>
        <w:tc>
          <w:tcPr>
            <w:tcW w:type="dxa" w:w="2256"/>
          </w:tcPr>
          <w:p>
            <w:pPr>
              <w:keepNext/>
              <w:spacing w:line="240" w:lineRule="auto" w:after="0" w:before="0"/>
              <w:jc w:val="center"/>
            </w:pPr>
            <w:r/>
            <w:r>
              <w:rPr>
                <w:b w:val="0"/>
                <w:sz w:val="17"/>
              </w:rPr>
              <w:t>−1.09 [−1.53, −0.64]</w:t>
            </w:r>
          </w:p>
        </w:tc>
        <w:tc>
          <w:tcPr>
            <w:tcW w:type="dxa" w:w="2256"/>
          </w:tcPr>
          <w:p>
            <w:pPr>
              <w:keepNext/>
              <w:spacing w:line="240" w:lineRule="auto" w:after="0" w:before="0"/>
              <w:jc w:val="center"/>
            </w:pPr>
            <w:r/>
            <w:r>
              <w:rPr>
                <w:b w:val="0"/>
                <w:sz w:val="17"/>
              </w:rPr>
              <w:t>−1.10 [−1.58, −0.65]</w:t>
            </w:r>
          </w:p>
        </w:tc>
        <w:tc>
          <w:tcPr>
            <w:tcW w:type="dxa" w:w="2256"/>
          </w:tcPr>
          <w:p>
            <w:pPr>
              <w:keepNext/>
              <w:spacing w:line="240" w:lineRule="auto" w:after="0" w:before="0"/>
              <w:jc w:val="center"/>
            </w:pPr>
            <w:r/>
            <w:r>
              <w:rPr>
                <w:b w:val="0"/>
                <w:sz w:val="17"/>
              </w:rPr>
              <w:t>&gt;.999</w:t>
            </w:r>
          </w:p>
        </w:tc>
      </w:tr>
      <w:tr>
        <w:tc>
          <w:tcPr>
            <w:tcW w:type="dxa" w:w="2256"/>
          </w:tcPr>
          <w:p>
            <w:pPr>
              <w:keepNext/>
              <w:spacing w:line="240" w:lineRule="auto" w:after="0" w:before="0"/>
            </w:pPr>
            <w:r/>
            <w:r>
              <w:rPr>
                <w:b w:val="0"/>
                <w:sz w:val="17"/>
              </w:rPr>
              <w:t>reward (γ10)</w:t>
            </w:r>
          </w:p>
        </w:tc>
        <w:tc>
          <w:tcPr>
            <w:tcW w:type="dxa" w:w="2256"/>
          </w:tcPr>
          <w:p>
            <w:pPr>
              <w:keepNext/>
              <w:spacing w:line="240" w:lineRule="auto" w:after="0" w:before="0"/>
              <w:jc w:val="center"/>
            </w:pPr>
            <w:r/>
            <w:r>
              <w:rPr>
                <w:b w:val="0"/>
                <w:sz w:val="17"/>
              </w:rPr>
              <w:t>0.94 [0.32, 1.56]</w:t>
            </w:r>
          </w:p>
        </w:tc>
        <w:tc>
          <w:tcPr>
            <w:tcW w:type="dxa" w:w="2256"/>
          </w:tcPr>
          <w:p>
            <w:pPr>
              <w:keepNext/>
              <w:spacing w:line="240" w:lineRule="auto" w:after="0" w:before="0"/>
              <w:jc w:val="center"/>
            </w:pPr>
            <w:r/>
            <w:r>
              <w:rPr>
                <w:b w:val="0"/>
                <w:sz w:val="17"/>
              </w:rPr>
              <w:t>0.94 [0.33, 1.53]</w:t>
            </w:r>
          </w:p>
        </w:tc>
        <w:tc>
          <w:tcPr>
            <w:tcW w:type="dxa" w:w="2256"/>
          </w:tcPr>
          <w:p>
            <w:pPr>
              <w:keepNext/>
              <w:spacing w:line="240" w:lineRule="auto" w:after="0" w:before="0"/>
              <w:jc w:val="center"/>
            </w:pPr>
            <w:r/>
            <w:r>
              <w:rPr>
                <w:b w:val="0"/>
                <w:sz w:val="17"/>
              </w:rPr>
              <w:t>.999</w:t>
            </w:r>
          </w:p>
        </w:tc>
      </w:tr>
      <w:tr>
        <w:tc>
          <w:tcPr>
            <w:tcW w:type="dxa" w:w="2256"/>
          </w:tcPr>
          <w:p>
            <w:pPr>
              <w:keepNext/>
              <w:spacing w:line="240" w:lineRule="auto" w:after="0" w:before="0"/>
            </w:pPr>
            <w:r/>
            <w:r>
              <w:rPr>
                <w:b w:val="0"/>
                <w:sz w:val="17"/>
              </w:rPr>
              <w:t>K_c (γ01)</w:t>
            </w:r>
          </w:p>
        </w:tc>
        <w:tc>
          <w:tcPr>
            <w:tcW w:type="dxa" w:w="2256"/>
          </w:tcPr>
          <w:p>
            <w:pPr>
              <w:keepNext/>
              <w:spacing w:line="240" w:lineRule="auto" w:after="0" w:before="0"/>
              <w:jc w:val="center"/>
            </w:pPr>
            <w:r/>
            <w:r>
              <w:rPr>
                <w:b w:val="0"/>
                <w:sz w:val="17"/>
              </w:rPr>
              <w:t>—</w:t>
            </w:r>
          </w:p>
        </w:tc>
        <w:tc>
          <w:tcPr>
            <w:tcW w:type="dxa" w:w="2256"/>
          </w:tcPr>
          <w:p>
            <w:pPr>
              <w:keepNext/>
              <w:spacing w:line="240" w:lineRule="auto" w:after="0" w:before="0"/>
              <w:jc w:val="center"/>
            </w:pPr>
            <w:r/>
            <w:r>
              <w:rPr>
                <w:b w:val="0"/>
                <w:sz w:val="17"/>
              </w:rPr>
              <w:t>0.29 [−0.12, 0.68]</w:t>
            </w:r>
          </w:p>
        </w:tc>
        <w:tc>
          <w:tcPr>
            <w:tcW w:type="dxa" w:w="2256"/>
          </w:tcPr>
          <w:p>
            <w:pPr>
              <w:keepNext/>
              <w:spacing w:line="240" w:lineRule="auto" w:after="0" w:before="0"/>
              <w:jc w:val="center"/>
            </w:pPr>
            <w:r/>
            <w:r>
              <w:rPr>
                <w:b w:val="0"/>
                <w:sz w:val="17"/>
              </w:rPr>
              <w:t>.918</w:t>
            </w:r>
          </w:p>
        </w:tc>
      </w:tr>
      <w:tr>
        <w:tc>
          <w:tcPr>
            <w:tcW w:type="dxa" w:w="2256"/>
          </w:tcPr>
          <w:p>
            <w:pPr>
              <w:keepNext/>
              <w:spacing w:line="240" w:lineRule="auto" w:after="0" w:before="0"/>
            </w:pPr>
            <w:r/>
            <w:r>
              <w:rPr>
                <w:b w:val="0"/>
                <w:sz w:val="17"/>
              </w:rPr>
              <w:t>reward × K_c (γ11)</w:t>
            </w:r>
          </w:p>
        </w:tc>
        <w:tc>
          <w:tcPr>
            <w:tcW w:type="dxa" w:w="2256"/>
          </w:tcPr>
          <w:p>
            <w:pPr>
              <w:keepNext/>
              <w:spacing w:line="240" w:lineRule="auto" w:after="0" w:before="0"/>
              <w:jc w:val="center"/>
            </w:pPr>
            <w:r/>
            <w:r>
              <w:rPr>
                <w:b w:val="0"/>
                <w:sz w:val="17"/>
              </w:rPr>
              <w:t>—</w:t>
            </w:r>
          </w:p>
        </w:tc>
        <w:tc>
          <w:tcPr>
            <w:tcW w:type="dxa" w:w="2256"/>
          </w:tcPr>
          <w:p>
            <w:pPr>
              <w:keepNext/>
              <w:spacing w:line="240" w:lineRule="auto" w:after="0" w:before="0"/>
              <w:jc w:val="center"/>
            </w:pPr>
            <w:r/>
            <w:r>
              <w:rPr>
                <w:b w:val="0"/>
                <w:sz w:val="17"/>
              </w:rPr>
              <w:t>−0.40 [−0.94, 0.12]</w:t>
            </w:r>
          </w:p>
        </w:tc>
        <w:tc>
          <w:tcPr>
            <w:tcW w:type="dxa" w:w="2256"/>
          </w:tcPr>
          <w:p>
            <w:pPr>
              <w:keepNext/>
              <w:spacing w:line="240" w:lineRule="auto" w:after="0" w:before="0"/>
              <w:jc w:val="center"/>
            </w:pPr>
            <w:r/>
            <w:r>
              <w:rPr>
                <w:b w:val="0"/>
                <w:sz w:val="17"/>
              </w:rPr>
              <w:t>.932</w:t>
            </w:r>
          </w:p>
        </w:tc>
      </w:tr>
      <w:tr>
        <w:tc>
          <w:tcPr>
            <w:tcW w:type="dxa" w:w="2256"/>
          </w:tcPr>
          <w:p>
            <w:pPr>
              <w:keepNext/>
              <w:spacing w:line="240" w:lineRule="auto" w:after="0" w:before="0"/>
            </w:pPr>
            <w:r/>
            <w:r>
              <w:rPr>
                <w:b/>
                <w:sz w:val="17"/>
              </w:rPr>
              <w:t>Random effects</w:t>
            </w:r>
          </w:p>
        </w:tc>
        <w:tc>
          <w:tcPr>
            <w:tcW w:type="dxa" w:w="2256"/>
          </w:tcPr>
          <w:p>
            <w:pPr>
              <w:keepNext/>
              <w:spacing w:line="240" w:lineRule="auto" w:after="0" w:before="0"/>
              <w:jc w:val="center"/>
            </w:pPr>
            <w:r/>
            <w:r>
              <w:rPr>
                <w:b w:val="0"/>
                <w:sz w:val="17"/>
              </w:rPr>
            </w:r>
          </w:p>
        </w:tc>
        <w:tc>
          <w:tcPr>
            <w:tcW w:type="dxa" w:w="2256"/>
          </w:tcPr>
          <w:p>
            <w:pPr>
              <w:keepNext/>
              <w:spacing w:line="240" w:lineRule="auto" w:after="0" w:before="0"/>
              <w:jc w:val="center"/>
            </w:pPr>
            <w:r/>
            <w:r>
              <w:rPr>
                <w:b w:val="0"/>
                <w:sz w:val="17"/>
              </w:rPr>
            </w:r>
          </w:p>
        </w:tc>
        <w:tc>
          <w:tcPr>
            <w:tcW w:type="dxa" w:w="2256"/>
          </w:tcPr>
          <w:p>
            <w:pPr>
              <w:keepNext/>
              <w:spacing w:line="240" w:lineRule="auto" w:after="0" w:before="0"/>
              <w:jc w:val="center"/>
            </w:pPr>
            <w:r/>
            <w:r>
              <w:rPr>
                <w:b w:val="0"/>
                <w:sz w:val="17"/>
              </w:rPr>
            </w:r>
          </w:p>
        </w:tc>
      </w:tr>
      <w:tr>
        <w:tc>
          <w:tcPr>
            <w:tcW w:type="dxa" w:w="2256"/>
          </w:tcPr>
          <w:p>
            <w:pPr>
              <w:keepNext/>
              <w:spacing w:line="240" w:lineRule="auto" w:after="0" w:before="0"/>
            </w:pPr>
            <w:r/>
            <w:r>
              <w:rPr>
                <w:b w:val="0"/>
                <w:sz w:val="17"/>
              </w:rPr>
              <w:t>SD(Intercept), √τ00</w:t>
            </w:r>
          </w:p>
        </w:tc>
        <w:tc>
          <w:tcPr>
            <w:tcW w:type="dxa" w:w="2256"/>
          </w:tcPr>
          <w:p>
            <w:pPr>
              <w:keepNext/>
              <w:spacing w:line="240" w:lineRule="auto" w:after="0" w:before="0"/>
              <w:jc w:val="center"/>
            </w:pPr>
            <w:r/>
            <w:r>
              <w:rPr>
                <w:b w:val="0"/>
                <w:sz w:val="17"/>
              </w:rPr>
              <w:t>1.34 [1.02, 1.80]</w:t>
            </w:r>
          </w:p>
        </w:tc>
        <w:tc>
          <w:tcPr>
            <w:tcW w:type="dxa" w:w="2256"/>
          </w:tcPr>
          <w:p>
            <w:pPr>
              <w:keepNext/>
              <w:spacing w:line="240" w:lineRule="auto" w:after="0" w:before="0"/>
              <w:jc w:val="center"/>
            </w:pPr>
            <w:r/>
            <w:r>
              <w:rPr>
                <w:b w:val="0"/>
                <w:sz w:val="17"/>
              </w:rPr>
              <w:t>1.31 [1.00, 1.77]</w:t>
            </w:r>
          </w:p>
        </w:tc>
        <w:tc>
          <w:tcPr>
            <w:tcW w:type="dxa" w:w="2256"/>
          </w:tcPr>
          <w:p>
            <w:pPr>
              <w:keepNext/>
              <w:spacing w:line="240" w:lineRule="auto" w:after="0" w:before="0"/>
              <w:jc w:val="center"/>
            </w:pPr>
            <w:r/>
            <w:r>
              <w:rPr>
                <w:b w:val="0"/>
                <w:sz w:val="17"/>
              </w:rPr>
              <w:t>—</w:t>
            </w:r>
          </w:p>
        </w:tc>
      </w:tr>
      <w:tr>
        <w:tc>
          <w:tcPr>
            <w:tcW w:type="dxa" w:w="2256"/>
          </w:tcPr>
          <w:p>
            <w:pPr>
              <w:keepNext/>
              <w:spacing w:line="240" w:lineRule="auto" w:after="0" w:before="0"/>
            </w:pPr>
            <w:r/>
            <w:r>
              <w:rPr>
                <w:b w:val="0"/>
                <w:sz w:val="17"/>
              </w:rPr>
              <w:t>SD(reward), √τ11</w:t>
            </w:r>
          </w:p>
        </w:tc>
        <w:tc>
          <w:tcPr>
            <w:tcW w:type="dxa" w:w="2256"/>
          </w:tcPr>
          <w:p>
            <w:pPr>
              <w:keepNext/>
              <w:spacing w:line="240" w:lineRule="auto" w:after="0" w:before="0"/>
              <w:jc w:val="center"/>
            </w:pPr>
            <w:r/>
            <w:r>
              <w:rPr>
                <w:b w:val="0"/>
                <w:sz w:val="17"/>
              </w:rPr>
              <w:t>1.79 [1.39, 2.33]</w:t>
            </w:r>
          </w:p>
        </w:tc>
        <w:tc>
          <w:tcPr>
            <w:tcW w:type="dxa" w:w="2256"/>
          </w:tcPr>
          <w:p>
            <w:pPr>
              <w:keepNext/>
              <w:spacing w:line="240" w:lineRule="auto" w:after="0" w:before="0"/>
              <w:jc w:val="center"/>
            </w:pPr>
            <w:r/>
            <w:r>
              <w:rPr>
                <w:b w:val="0"/>
                <w:sz w:val="17"/>
              </w:rPr>
              <w:t>1.76 [1.36, 2.33]</w:t>
            </w:r>
          </w:p>
        </w:tc>
        <w:tc>
          <w:tcPr>
            <w:tcW w:type="dxa" w:w="2256"/>
          </w:tcPr>
          <w:p>
            <w:pPr>
              <w:keepNext/>
              <w:spacing w:line="240" w:lineRule="auto" w:after="0" w:before="0"/>
              <w:jc w:val="center"/>
            </w:pPr>
            <w:r/>
            <w:r>
              <w:rPr>
                <w:b w:val="0"/>
                <w:sz w:val="17"/>
              </w:rPr>
              <w:t>—</w:t>
            </w:r>
          </w:p>
        </w:tc>
      </w:tr>
      <w:tr>
        <w:tc>
          <w:tcPr>
            <w:tcW w:type="dxa" w:w="2256"/>
          </w:tcPr>
          <w:p>
            <w:pPr>
              <w:keepNext/>
              <w:spacing w:line="240" w:lineRule="auto" w:after="0" w:before="0"/>
            </w:pPr>
            <w:r/>
            <w:r>
              <w:rPr>
                <w:b w:val="0"/>
                <w:sz w:val="17"/>
              </w:rPr>
              <w:t>corr(U0, U1)</w:t>
            </w:r>
          </w:p>
        </w:tc>
        <w:tc>
          <w:tcPr>
            <w:tcW w:type="dxa" w:w="2256"/>
          </w:tcPr>
          <w:p>
            <w:pPr>
              <w:keepNext/>
              <w:spacing w:line="240" w:lineRule="auto" w:after="0" w:before="0"/>
              <w:jc w:val="center"/>
            </w:pPr>
            <w:r/>
            <w:r>
              <w:rPr>
                <w:b w:val="0"/>
                <w:sz w:val="17"/>
              </w:rPr>
              <w:t>−0.49 [−0.72, −0.18]</w:t>
            </w:r>
          </w:p>
        </w:tc>
        <w:tc>
          <w:tcPr>
            <w:tcW w:type="dxa" w:w="2256"/>
          </w:tcPr>
          <w:p>
            <w:pPr>
              <w:keepNext/>
              <w:spacing w:line="240" w:lineRule="auto" w:after="0" w:before="0"/>
              <w:jc w:val="center"/>
            </w:pPr>
            <w:r/>
            <w:r>
              <w:rPr>
                <w:b w:val="0"/>
                <w:sz w:val="17"/>
              </w:rPr>
              <w:t>−0.47 [−0.70, −0.13]</w:t>
            </w:r>
          </w:p>
        </w:tc>
        <w:tc>
          <w:tcPr>
            <w:tcW w:type="dxa" w:w="2256"/>
          </w:tcPr>
          <w:p>
            <w:pPr>
              <w:keepNext/>
              <w:spacing w:line="240" w:lineRule="auto" w:after="0" w:before="0"/>
              <w:jc w:val="center"/>
            </w:pPr>
            <w:r/>
            <w:r>
              <w:rPr>
                <w:b w:val="0"/>
                <w:sz w:val="17"/>
              </w:rPr>
              <w:t>—</w:t>
            </w:r>
          </w:p>
        </w:tc>
      </w:tr>
    </w:tbl>
    <w:p>
      <w:pPr>
        <w:spacing w:line="240" w:lineRule="auto" w:before="60" w:after="120"/>
      </w:pPr>
      <w:r>
        <w:rPr>
          <w:b w:val="0"/>
          <w:i w:val="0"/>
          <w:sz w:val="18"/>
        </w:rPr>
        <w:t>Table 1. Posterior medians [95% credible intervals], Models 1 and 2; pd = probability of direction for Model 2. Fixed effects are on the log-odds scale.</w:t>
      </w:r>
    </w:p>
    <w:p>
      <w:pPr>
        <w:spacing w:line="360" w:lineRule="auto" w:before="0" w:after="40"/>
      </w:pPr>
      <w:r>
        <w:rPr>
          <w:b w:val="0"/>
          <w:i w:val="0"/>
          <w:sz w:val="22"/>
        </w:rPr>
        <w:t>The reward effect was strongly positive and identical in both models (Model 2: γ10 = 0.94 [0.33, 1.53], pd = .999): for a participant of average capacity, a conditional odds ratio of 2.56 [1.39, 4.59]; the population-average OR is 2.22 [2.01, 2.45] (+18.5 percentage points [16.2, 20.7] on P(stay)), the two differing because odds ratios are non-collapsible. The K_c main effect was positive but not credible (γ01 = 0.29 [−0.12, 0.68], pd = .918; BF01 = 2.76). The interaction was negative, with 93.2% of its posterior below zero (γ11 = −0.40 [−0.94, 0.12]; −0.13 [−0.30, 0.04] in pseudo-standardised units, against 0.26 [0.09, 0.42] for reward itself): higher capacity went with a weaker reward effect, in the predicted direction, but the credible interval includes zero.</w:t>
      </w:r>
    </w:p>
    <w:p>
      <w:pPr>
        <w:spacing w:line="360" w:lineRule="auto" w:before="0" w:after="40"/>
      </w:pPr>
      <w:r>
        <w:rPr>
          <w:b w:val="0"/>
          <w:i w:val="0"/>
          <w:sz w:val="22"/>
        </w:rPr>
        <w:t>Simple slopes (Figure 1A): at −1 SD of K the reward effect was 1.40 [0.54, 2.26] log-odds (OR = 4.06 [1.72, 9.58]; P(stay) .19 → .49, a rise of .29 [.11, .48], pd &gt; .999); at the mean, 0.94 [0.33, 1.53] (OR = 2.56; .25 → .46); at +1 SD, 0.48 [−0.42, 1.30] (OR = 1.61 [0.66, 3.65]; .32 → .43, a rise of .11 [−.09, .30], pd = .859). Reward clearly moved low-capacity participants and did not credibly move high-capacity ones, yet the difference between the two slopes is itself uncertain (−0.94 [−2.19, 0.28]), exactly what the interaction's credible interval says.</w:t>
      </w:r>
    </w:p>
    <w:p>
      <w:pPr>
        <w:spacing w:line="360" w:lineRule="auto" w:before="0" w:after="40"/>
      </w:pPr>
      <w:r>
        <w:rPr>
          <w:b w:val="0"/>
          <w:i w:val="0"/>
          <w:sz w:val="22"/>
        </w:rPr>
        <w:t>The random effects carry most of the story. Between-person variability was substantial in both the baseline tendency to stay (√τ00 = 1.31 [1.00, 1.77]) and reward sensitivity (√τ11 = 1.76 [1.36, 2.33], spanning odds ratios of roughly 0.4 to 15 at ±1 SD), and the two correlated negatively (r(U0, U1) = −0.47 [−0.70, −0.13]): participants who stayed more at baseline gained less from reward, consistent with a ceiling on P(stay); Figure 1B shows how much of that spread K leaves unexplained. Because trials come in six blocks per person, we also refitted Model 2 with a third level: block intercepts carried real variance (√τ = 0.78 [0.66, 0.93]), so staying drifts across the session, but the interaction was unchanged (γ11 = −0.41 [−0.97, 0.15]).</w:t>
      </w:r>
    </w:p>
    <w:p>
      <w:pPr>
        <w:spacing w:before="120" w:after="40"/>
        <w:jc w:val="center"/>
      </w:pPr>
      <w:r>
        <w:drawing>
          <wp:inline xmlns:a="http://schemas.openxmlformats.org/drawingml/2006/main" xmlns:pic="http://schemas.openxmlformats.org/drawingml/2006/picture">
            <wp:extent cx="4480560" cy="1487483"/>
            <wp:docPr id="1" name="Picture 1"/>
            <wp:cNvGraphicFramePr>
              <a:graphicFrameLocks noChangeAspect="1"/>
            </wp:cNvGraphicFramePr>
            <a:graphic>
              <a:graphicData uri="http://schemas.openxmlformats.org/drawingml/2006/picture">
                <pic:pic>
                  <pic:nvPicPr>
                    <pic:cNvPr id="0" name="simple_slopes.png"/>
                    <pic:cNvPicPr/>
                  </pic:nvPicPr>
                  <pic:blipFill>
                    <a:blip r:embed="rId9"/>
                    <a:stretch>
                      <a:fillRect/>
                    </a:stretch>
                  </pic:blipFill>
                  <pic:spPr>
                    <a:xfrm>
                      <a:off x="0" y="0"/>
                      <a:ext cx="4480560" cy="1487483"/>
                    </a:xfrm>
                    <a:prstGeom prst="rect"/>
                  </pic:spPr>
                </pic:pic>
              </a:graphicData>
            </a:graphic>
          </wp:inline>
        </w:drawing>
      </w:r>
    </w:p>
    <w:p>
      <w:pPr>
        <w:spacing w:line="240" w:lineRule="auto" w:before="0" w:after="120"/>
      </w:pPr>
      <w:r>
        <w:rPr>
          <w:b w:val="0"/>
          <w:i w:val="0"/>
          <w:sz w:val="18"/>
        </w:rPr>
        <w:t>Figure 1. (A) Model 2 predicted P(stay) after an unrewarded and a rewarded trial at −1 SD, the mean, and +1 SD of K, for the median participant (random effects set to zero); bars are 95% credible intervals. (B) Each participant's observed reward effect on P(stay) against their K, with the model-implied effect and its 95% credible band.</w:t>
      </w:r>
    </w:p>
    <w:p>
      <w:pPr>
        <w:spacing w:line="360" w:lineRule="auto" w:before="120" w:after="60"/>
      </w:pPr>
      <w:r>
        <w:rPr>
          <w:b/>
          <w:i w:val="0"/>
          <w:sz w:val="24"/>
        </w:rPr>
        <w:t>General Discussion</w:t>
      </w:r>
    </w:p>
    <w:p>
      <w:pPr>
        <w:spacing w:line="360" w:lineRule="auto" w:before="0" w:after="80"/>
      </w:pPr>
      <w:r>
        <w:rPr>
          <w:b w:val="0"/>
          <w:i w:val="0"/>
          <w:sz w:val="22"/>
        </w:rPr>
        <w:t>Reframing an exploratory two-stage correlation as a single cross-level interaction fitted to all 5,025 trials sharpens the estimate without changing the verdict. The interaction runs in the direction the executive-control account predicts, but it is not credibly different from zero, the Bayes factor is mildly against it, holding out whole participants buys no predictive accuracy, and WM capacity explains under 4% of the between-person variance in reward sensitivity.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person and a reward effect this size.</w:t>
      </w:r>
    </w:p>
    <w:p>
      <w:pPr>
        <w:spacing w:line="360" w:lineRule="auto" w:before="0" w:after="40"/>
      </w:pPr>
      <w:r>
        <w:rPr>
          <w:b w:val="0"/>
          <w:i w:val="0"/>
          <w:sz w:val="22"/>
        </w:rPr>
        <w:t>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participant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pPr>
        <w:spacing w:line="360" w:lineRule="auto" w:before="120" w:after="60"/>
      </w:pPr>
      <w:r>
        <w:rPr>
          <w:b/>
          <w:i w:val="0"/>
          <w:sz w:val="24"/>
        </w:rPr>
        <w:t>References</w:t>
      </w:r>
    </w:p>
    <w:p>
      <w:pPr>
        <w:spacing w:line="240" w:lineRule="auto" w:before="0" w:after="40"/>
        <w:ind w:left="397" w:hanging="397"/>
      </w:pPr>
      <w:r>
        <w:rPr>
          <w:b w:val="0"/>
          <w:i w:val="0"/>
          <w:sz w:val="18"/>
        </w:rPr>
        <w:t xml:space="preserve">Barr, D. J., Levy, R., Scheepers, C., &amp; Tily, H. J. (2013). Random effects structure for confirmatory hypothesis testing: Keep it maximal. </w:t>
      </w:r>
      <w:r>
        <w:rPr>
          <w:b w:val="0"/>
          <w:i/>
          <w:sz w:val="18"/>
        </w:rPr>
        <w:t>Journal of Memory and Language, 68</w:t>
      </w:r>
      <w:r>
        <w:rPr>
          <w:b w:val="0"/>
          <w:i w:val="0"/>
          <w:sz w:val="18"/>
        </w:rPr>
        <w:t>(3), 255–278.</w:t>
      </w:r>
    </w:p>
    <w:p>
      <w:pPr>
        <w:spacing w:line="240" w:lineRule="auto" w:before="0" w:after="40"/>
        <w:ind w:left="397" w:hanging="397"/>
      </w:pPr>
      <w:r>
        <w:rPr>
          <w:b w:val="0"/>
          <w:i w:val="0"/>
          <w:sz w:val="18"/>
        </w:rPr>
        <w:t xml:space="preserve">Cowan, N. (2001). The magical number 4 in short-term memory: A reconsideration of mental storage capacity. </w:t>
      </w:r>
      <w:r>
        <w:rPr>
          <w:b w:val="0"/>
          <w:i/>
          <w:sz w:val="18"/>
        </w:rPr>
        <w:t>Behavioral and Brain Sciences, 24</w:t>
      </w:r>
      <w:r>
        <w:rPr>
          <w:b w:val="0"/>
          <w:i w:val="0"/>
          <w:sz w:val="18"/>
        </w:rPr>
        <w:t>(1), 87–114.</w:t>
      </w:r>
    </w:p>
    <w:p>
      <w:pPr>
        <w:spacing w:line="240" w:lineRule="auto" w:before="0" w:after="40"/>
        <w:ind w:left="397" w:hanging="397"/>
      </w:pPr>
      <w:r>
        <w:rPr>
          <w:b w:val="0"/>
          <w:i w:val="0"/>
          <w:sz w:val="18"/>
        </w:rPr>
        <w:t xml:space="preserve">Hoffman, L. (2015). </w:t>
      </w:r>
      <w:r>
        <w:rPr>
          <w:b w:val="0"/>
          <w:i/>
          <w:sz w:val="18"/>
        </w:rPr>
        <w:t>Longitudinal analysis: Modeling within-person fluctuation and change.</w:t>
      </w:r>
      <w:r>
        <w:rPr>
          <w:b w:val="0"/>
          <w:i w:val="0"/>
          <w:sz w:val="18"/>
        </w:rPr>
        <w:t xml:space="preserve"> Routledge.</w:t>
      </w:r>
    </w:p>
    <w:p>
      <w:pPr>
        <w:spacing w:line="240" w:lineRule="auto" w:before="0" w:after="40"/>
        <w:ind w:left="397" w:hanging="397"/>
      </w:pPr>
      <w:r>
        <w:rPr>
          <w:b w:val="0"/>
          <w:i w:val="0"/>
          <w:sz w:val="18"/>
        </w:rPr>
        <w:t xml:space="preserve">Jaeger, T. F. (2008). Categorical data analysis: Away from ANOVAs (transformation or not) and towards logit mixed models. </w:t>
      </w:r>
      <w:r>
        <w:rPr>
          <w:b w:val="0"/>
          <w:i/>
          <w:sz w:val="18"/>
        </w:rPr>
        <w:t>Journal of Memory and Language, 59</w:t>
      </w:r>
      <w:r>
        <w:rPr>
          <w:b w:val="0"/>
          <w:i w:val="0"/>
          <w:sz w:val="18"/>
        </w:rPr>
        <w:t>(4), 434–446.</w:t>
      </w:r>
    </w:p>
    <w:p>
      <w:pPr>
        <w:spacing w:line="240" w:lineRule="auto" w:before="0" w:after="40"/>
        <w:ind w:left="397" w:hanging="397"/>
      </w:pPr>
      <w:r>
        <w:rPr>
          <w:b w:val="0"/>
          <w:i w:val="0"/>
          <w:sz w:val="18"/>
        </w:rPr>
        <w:t xml:space="preserve">Vehtari, A., Gelman, A., &amp; Gabry, J. (2017). Practical Bayesian model evaluation using leave-one-out cross-validation and WAIC. </w:t>
      </w:r>
      <w:r>
        <w:rPr>
          <w:b w:val="0"/>
          <w:i/>
          <w:sz w:val="18"/>
        </w:rPr>
        <w:t>Statistics and Computing, 27</w:t>
      </w:r>
      <w:r>
        <w:rPr>
          <w:b w:val="0"/>
          <w:i w:val="0"/>
          <w:sz w:val="18"/>
        </w:rPr>
        <w:t>(5), 1413–1432.</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
  <cp:revision>1</cp:revision>
  <dcterms:created xsi:type="dcterms:W3CDTF">2013-12-23T23:15:00Z</dcterms:created>
  <dcterms:modified xsi:type="dcterms:W3CDTF">2013-12-23T23:15:00Z</dcterms:modified>
  <cp:category/>
</cp:coreProperties>
</file>