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WSLS effect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logit(P(stay</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br/>
        <w:t xml:space="preserve">Wilkinson: stay ~ 1 + (1 | subject).</w:t>
      </w:r>
    </w:p>
    <w:p w14:paraId="1362D447" w14:textId="4A30269F" w:rsidR="007B2599" w:rsidRPr="007B2599" w:rsidRDefault="007B2599" w:rsidP="007B2599">
      <w:r>
        <w:t xml:space="preserve">Model 1 (reward_oneback). L1: logit(P(stay</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b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logit(P(stay</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br/>
        <w:t xml:space="preserve">Wilkinson: stay ~ reward_oneback * K_c + (reward_oneback | subject).</w:t>
      </w:r>
    </w:p>
    <w:p w14:paraId="580E42B4" w14:textId="71039D7D" w:rsidR="00386F54" w:rsidRPr="008905F9" w:rsidRDefault="00CB2435">
      <w:pPr>
        <w:rPr>
          <w:iCs/>
        </w:rPr>
      </w:pPr>
      <w:r>
        <w:rPr>
          <w:iCs/>
        </w:rPr>
        <w:t xml:space="preserve">As in all generalized linear mixed models, there is no separate Level 1 residual term: Level 1 variance is fixed by the distribution at π²/3 rather than estimated. 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pseudo-R²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perscript"/>
        </w:rPr>
        <w:t xml:space="preserve">2</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perscript"/>
              </w:rPr>
              <w:t xml:space="preserve">2</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perscript"/>
              </w:rPr>
              <w:t xml:space="preserve">2</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perscript"/>
        </w:rPr>
        <w:t xml:space="preserve">2</w:t>
      </w:r>
      <w:r>
        <w:rPr>
          <w:vertAlign w:val="subscript"/>
        </w:rPr>
        <w:t xml:space="preserve">0</w:t>
      </w:r>
      <w:r>
        <w:t xml:space="preserve"> = 1.25) and WSLS sensitivity (√σ</w:t>
      </w:r>
      <w:r>
        <w:rPr>
          <w:vertAlign w:val="superscript"/>
        </w:rPr>
        <w:t xml:space="preserve">2</w:t>
      </w:r>
      <w:r>
        <w:rPr>
          <w:vertAlign w:val="subscript"/>
        </w:rPr>
        <w:t xml:space="preserve">1</w:t>
      </w:r>
      <w:r>
        <w:t xml:space="preserve"> = 1.67), and the two correlated negatively (ρ</w:t>
      </w:r>
      <w:r>
        <w:rPr>
          <w:vertAlign w:val="subscript"/>
        </w:rPr>
        <w:t xml:space="preserve">01</w:t>
      </w:r>
      <w:r>
        <w:t xml:space="preserve"> = −0.51): subjects who stayed more at baseline gained less from reward, consistent with a ceiling on P(stay). Figure 1B shows how much of that spread K leaves unexplained: the raw per-subject WSLS effect trends downward with K, matching the interaction's direction, but the scatter is wide.</w:t>
      </w:r>
    </w:p>
    <w:p w14:paraId="70299BF2" w14:textId="77777777" w:rsidR="00386F54" w:rsidRDefault="00000000">
      <w:pPr>
        <w:spacing w:before="120"/>
        <w:jc w:val="center"/>
      </w:pPr>
      <w:r>
        <w:rPr>
          <w:noProof/>
        </w:rPr>
        <w:drawing>
          <wp:inline distT="0" distB="0" distL="0" distR="0" wp14:anchorId="194F6D60" wp14:editId="1723C77B">
            <wp:extent cx="4480560" cy="1960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60245"/>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the mean, and +1 SD of K, population-average predictions; bars are 95% CIs. (B) Each subject's own observed WSLS effect (P(stay) after reward minus P(stay) after no reward) against their K, with an OLS reference line.</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subject and a WSLS effect this size.</w:t>
      </w:r>
    </w:p>
    <w:p w14:paraId="553255FD" w14:textId="77777777" w:rsidR="00386F54" w:rsidRDefault="00000000">
      <w:r>
        <w:t xml:space="preserve">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subject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