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הסקה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אוטומטית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נתונים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טכניים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25.12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בזוגות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הלמדה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מהזוג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התשובות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לשאלות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שבתרגיל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ותיקיית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benchmark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מומלץ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שחייבים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המסקנות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ויוריסטיקות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בחירה</w:t>
      </w:r>
    </w:p>
    <w:p w:rsidR="00000000" w:rsidDel="00000000" w:rsidP="00000000" w:rsidRDefault="00000000" w:rsidRPr="00000000" w14:paraId="0000000A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CDCL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CDCL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פותרנים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CDCL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-2 </w:t>
      </w:r>
      <w:r w:rsidDel="00000000" w:rsidR="00000000" w:rsidRPr="00000000">
        <w:rPr>
          <w:rtl w:val="1"/>
        </w:rPr>
        <w:t xml:space="preserve">יוריסטיקות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פותרנים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line="240" w:lineRule="auto"/>
        <w:ind w:left="2160" w:hanging="360"/>
        <w:jc w:val="both"/>
        <w:rPr/>
      </w:pPr>
      <w:r w:rsidDel="00000000" w:rsidR="00000000" w:rsidRPr="00000000">
        <w:rPr>
          <w:rtl w:val="1"/>
        </w:rPr>
        <w:t xml:space="preserve">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line="240" w:lineRule="auto"/>
        <w:ind w:left="2160" w:hanging="360"/>
        <w:jc w:val="both"/>
        <w:rPr/>
      </w:pPr>
      <w:r w:rsidDel="00000000" w:rsidR="00000000" w:rsidRPr="00000000">
        <w:rPr>
          <w:rtl w:val="1"/>
        </w:rPr>
        <w:t xml:space="preserve">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line="240" w:lineRule="auto"/>
        <w:ind w:left="2160" w:hanging="360"/>
        <w:jc w:val="both"/>
        <w:rPr/>
      </w:pPr>
      <w:r w:rsidDel="00000000" w:rsidR="00000000" w:rsidRPr="00000000">
        <w:rPr>
          <w:rtl w:val="1"/>
        </w:rPr>
        <w:t xml:space="preserve">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240" w:lineRule="auto"/>
        <w:ind w:left="2160" w:hanging="360"/>
        <w:jc w:val="both"/>
        <w:rPr/>
      </w:pPr>
      <w:r w:rsidDel="00000000" w:rsidR="00000000" w:rsidRPr="00000000">
        <w:rPr>
          <w:rtl w:val="1"/>
        </w:rPr>
        <w:t xml:space="preserve">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10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CDCL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אסטרגטגיה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יוריסטיקות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מהיוריסטיקות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DLIS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2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 100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formula</w:t>
      </w:r>
      <w:r w:rsidDel="00000000" w:rsidR="00000000" w:rsidRPr="00000000">
        <w:rPr>
          <w:rtl w:val="0"/>
        </w:rPr>
        <w:t xml:space="preserve">_1.</w:t>
      </w:r>
      <w:r w:rsidDel="00000000" w:rsidR="00000000" w:rsidRPr="00000000">
        <w:rPr>
          <w:rtl w:val="0"/>
        </w:rPr>
        <w:t xml:space="preserve">cnf</w:t>
      </w:r>
      <w:r w:rsidDel="00000000" w:rsidR="00000000" w:rsidRPr="00000000">
        <w:rPr>
          <w:rtl w:val="0"/>
        </w:rPr>
        <w:t xml:space="preserve">, … , </w:t>
      </w:r>
      <w:r w:rsidDel="00000000" w:rsidR="00000000" w:rsidRPr="00000000">
        <w:rPr>
          <w:rtl w:val="0"/>
        </w:rPr>
        <w:t xml:space="preserve">formula</w:t>
      </w:r>
      <w:r w:rsidDel="00000000" w:rsidR="00000000" w:rsidRPr="00000000">
        <w:rPr>
          <w:rtl w:val="0"/>
        </w:rPr>
        <w:t xml:space="preserve">_100.</w:t>
      </w:r>
      <w:r w:rsidDel="00000000" w:rsidR="00000000" w:rsidRPr="00000000">
        <w:rPr>
          <w:rtl w:val="0"/>
        </w:rPr>
        <w:t xml:space="preserve">cnf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ליטרלים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transition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benchmark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בדו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minisat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unknown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לנוחיותכם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solver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furmula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cnf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run_solver.sh &lt;solver&gt; &lt;directory&gt; &lt;timeout&gt;</w:t>
      </w:r>
    </w:p>
    <w:p w:rsidR="00000000" w:rsidDel="00000000" w:rsidP="00000000" w:rsidRDefault="00000000" w:rsidRPr="00000000" w14:paraId="00000016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לפותרן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timeout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הריצו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minisat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minisat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minisat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והשוו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minisat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והפותרן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diff -y --suppress-common-lines &lt;(nl -ba &lt;file1&gt;) &lt;(nl -ba &lt;file2&gt;)</w:t>
      </w:r>
    </w:p>
    <w:p w:rsidR="00000000" w:rsidDel="00000000" w:rsidP="00000000" w:rsidRDefault="00000000" w:rsidRPr="00000000" w14:paraId="00000019">
      <w:pPr>
        <w:bidi w:val="1"/>
        <w:spacing w:line="240" w:lineRule="auto"/>
        <w:jc w:val="both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שהפותרנים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diff -y --suppress-common-lines &lt;(nl -ba &lt;file1&gt;) </w:t>
      </w:r>
      <w:r w:rsidDel="00000000" w:rsidR="00000000" w:rsidRPr="00000000">
        <w:rPr>
          <w:sz w:val="28"/>
          <w:szCs w:val="28"/>
          <w:rtl w:val="0"/>
        </w:rPr>
        <w:t xml:space="preserve">&lt;(nl -ba &lt;file2&gt;) | wc -l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שאלות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תאורטיות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פסוקית</w:t>
      </w:r>
    </w:p>
    <w:p w:rsidR="00000000" w:rsidDel="00000000" w:rsidP="00000000" w:rsidRDefault="00000000" w:rsidRPr="00000000" w14:paraId="0000001D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-(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var(p </w:t>
      </w:r>
      <m:oMath>
        <m:r>
          <m:t>∧</m:t>
        </m:r>
        <m:r>
          <m:t>¬</m:t>
        </m:r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) = {p,q}</w:t>
      </w:r>
    </w:p>
    <w:p w:rsidR="00000000" w:rsidDel="00000000" w:rsidP="00000000" w:rsidRDefault="00000000" w:rsidRPr="00000000" w14:paraId="0000001F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תהיינה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var(A) </w:t>
      </w:r>
      <m:oMath>
        <m:r>
          <m:t>∩</m:t>
        </m:r>
      </m:oMath>
      <w:r w:rsidDel="00000000" w:rsidR="00000000" w:rsidRPr="00000000">
        <w:rPr>
          <w:rtl w:val="0"/>
        </w:rPr>
        <w:t xml:space="preserve"> var(B) = {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bidi w:val="1"/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הנוסחה</w:t>
      </w:r>
      <w:r w:rsidDel="00000000" w:rsidR="00000000" w:rsidRPr="00000000">
        <w:rPr>
          <w:rtl w:val="1"/>
        </w:rPr>
        <w:t xml:space="preserve"> 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 </m:t>
        </m:r>
        <m:r>
          <w:rPr/>
          <m:t>→</m:t>
        </m:r>
        <m:r>
          <w:rPr/>
          <m:t xml:space="preserve">(A</m:t>
        </m:r>
        <m:r>
          <w:rPr/>
          <m:t>→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 </m:t>
        </m:r>
        <m:r>
          <w:rPr/>
          <m:t>→</m:t>
        </m:r>
        <m:r>
          <w:rPr/>
          <m:t>¬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 </m:t>
        </m:r>
        <m:r>
          <w:rPr/>
          <m:t>→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שלישייה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פיתגורית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{1</w:t>
      </w:r>
      <w:r w:rsidDel="00000000" w:rsidR="00000000" w:rsidRPr="00000000">
        <w:rPr>
          <w:color w:val="ffffff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}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{1</w:t>
      </w:r>
      <w:r w:rsidDel="00000000" w:rsidR="00000000" w:rsidRPr="00000000">
        <w:rPr>
          <w:color w:val="ffffff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}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-{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1"/>
        </w:rPr>
        <w:t xml:space="preserve">}. </w:t>
      </w:r>
      <w:r w:rsidDel="00000000" w:rsidR="00000000" w:rsidRPr="00000000">
        <w:rPr>
          <w:rtl w:val="1"/>
        </w:rPr>
        <w:t xml:space="preserve">שלישייה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מונוכרומטית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f(a) = f(b) = f(c)</w:t>
      </w:r>
    </w:p>
    <w:p w:rsidR="00000000" w:rsidDel="00000000" w:rsidP="00000000" w:rsidRDefault="00000000" w:rsidRPr="00000000" w14:paraId="00000024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=10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השלישייה</w:t>
      </w:r>
      <w:r w:rsidDel="00000000" w:rsidR="00000000" w:rsidRPr="00000000">
        <w:rPr>
          <w:rtl w:val="1"/>
        </w:rPr>
        <w:t xml:space="preserve"> 3,4,5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פיתגורית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מונוכרומטית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</w:p>
    <w:p w:rsidR="00000000" w:rsidDel="00000000" w:rsidP="00000000" w:rsidRDefault="00000000" w:rsidRPr="00000000" w14:paraId="00000025">
      <w:pPr>
        <w:bidi w:val="1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40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} </w:t>
      </w:r>
      <w:r w:rsidDel="00000000" w:rsidR="00000000" w:rsidRPr="00000000">
        <w:rPr>
          <w:rtl w:val="1"/>
        </w:rPr>
        <w:t xml:space="preserve">שספיקה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{40,...., 1}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פיתגורית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מונוכרומטית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פיתגורית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מונוכרומטית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dual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שהוכחנו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DPLL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-(</w:t>
      </w:r>
      <m:oMath>
        <m:r>
          <m:t>⊘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,[]) </w:t>
      </w:r>
      <w:r w:rsidDel="00000000" w:rsidR="00000000" w:rsidRPr="00000000">
        <w:rPr>
          <w:rtl w:val="1"/>
        </w:rPr>
        <w:t xml:space="preserve">בתחשיב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DPLL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-(</w:t>
      </w:r>
      <m:oMath>
        <m:r>
          <m:t>⊘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,[]) </w:t>
      </w:r>
      <w:r w:rsidDel="00000000" w:rsidR="00000000" w:rsidRPr="00000000">
        <w:rPr>
          <w:rtl w:val="1"/>
        </w:rPr>
        <w:t xml:space="preserve">בתחשיב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DPLL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-(</w:t>
      </w:r>
      <m:oMath>
        <m:r>
          <m:t>⊘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,[]) </w:t>
      </w:r>
      <w:r w:rsidDel="00000000" w:rsidR="00000000" w:rsidRPr="00000000">
        <w:rPr>
          <w:rtl w:val="1"/>
        </w:rPr>
        <w:t xml:space="preserve">בתחשיב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DPLL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2">
      <w:pPr>
        <w:bidi w:val="1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לקריאה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נוספת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https://www.cs.utexas.edu/~marijn/ptn/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בס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ד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812AB8"/>
  </w:style>
  <w:style w:type="paragraph" w:styleId="1">
    <w:name w:val="heading 1"/>
    <w:basedOn w:val="a"/>
    <w:next w:val="a"/>
    <w:link w:val="10"/>
    <w:uiPriority w:val="9"/>
    <w:qFormat w:val="1"/>
    <w:rsid w:val="00CA6DA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A6DA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CA6DA9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CA6DA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CA6DA9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CA6DA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CA6DA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CA6DA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CA6DA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CA6DA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כותרת 2 תו"/>
    <w:basedOn w:val="a0"/>
    <w:link w:val="2"/>
    <w:uiPriority w:val="9"/>
    <w:rsid w:val="00CA6DA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כותרת 3 תו"/>
    <w:basedOn w:val="a0"/>
    <w:link w:val="3"/>
    <w:uiPriority w:val="9"/>
    <w:semiHidden w:val="1"/>
    <w:rsid w:val="00CA6DA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כותרת 4 תו"/>
    <w:basedOn w:val="a0"/>
    <w:link w:val="4"/>
    <w:uiPriority w:val="9"/>
    <w:semiHidden w:val="1"/>
    <w:rsid w:val="00CA6DA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CA6DA9"/>
    <w:rPr>
      <w:rFonts w:cstheme="majorBidi" w:eastAsiaTheme="majorEastAsia"/>
      <w:color w:val="2f5496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CA6DA9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כותרת 7 תו"/>
    <w:basedOn w:val="a0"/>
    <w:link w:val="7"/>
    <w:uiPriority w:val="9"/>
    <w:semiHidden w:val="1"/>
    <w:rsid w:val="00CA6DA9"/>
    <w:rPr>
      <w:rFonts w:cstheme="majorBidi" w:eastAsiaTheme="majorEastAsia"/>
      <w:color w:val="595959" w:themeColor="text1" w:themeTint="0000A6"/>
    </w:rPr>
  </w:style>
  <w:style w:type="character" w:styleId="80" w:customStyle="1">
    <w:name w:val="כותרת 8 תו"/>
    <w:basedOn w:val="a0"/>
    <w:link w:val="8"/>
    <w:uiPriority w:val="9"/>
    <w:semiHidden w:val="1"/>
    <w:rsid w:val="00CA6DA9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כותרת 9 תו"/>
    <w:basedOn w:val="a0"/>
    <w:link w:val="9"/>
    <w:uiPriority w:val="9"/>
    <w:semiHidden w:val="1"/>
    <w:rsid w:val="00CA6DA9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CA6DA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כותרת טקסט תו"/>
    <w:basedOn w:val="a0"/>
    <w:link w:val="a3"/>
    <w:uiPriority w:val="10"/>
    <w:rsid w:val="00CA6DA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CA6DA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כותרת משנה תו"/>
    <w:basedOn w:val="a0"/>
    <w:link w:val="a5"/>
    <w:uiPriority w:val="11"/>
    <w:rsid w:val="00CA6DA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CA6DA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ציטוט תו"/>
    <w:basedOn w:val="a0"/>
    <w:link w:val="a7"/>
    <w:uiPriority w:val="29"/>
    <w:rsid w:val="00CA6DA9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CA6DA9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CA6DA9"/>
    <w:rPr>
      <w:i w:val="1"/>
      <w:iCs w:val="1"/>
      <w:color w:val="2f5496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CA6DA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c" w:customStyle="1">
    <w:name w:val="ציטוט חזק תו"/>
    <w:basedOn w:val="a0"/>
    <w:link w:val="ab"/>
    <w:uiPriority w:val="30"/>
    <w:rsid w:val="00CA6DA9"/>
    <w:rPr>
      <w:i w:val="1"/>
      <w:iCs w:val="1"/>
      <w:color w:val="2f5496" w:themeColor="accent1" w:themeShade="0000BF"/>
    </w:rPr>
  </w:style>
  <w:style w:type="character" w:styleId="ad">
    <w:name w:val="Intense Reference"/>
    <w:basedOn w:val="a0"/>
    <w:uiPriority w:val="32"/>
    <w:qFormat w:val="1"/>
    <w:rsid w:val="00CA6DA9"/>
    <w:rPr>
      <w:b w:val="1"/>
      <w:bCs w:val="1"/>
      <w:smallCaps w:val="1"/>
      <w:color w:val="2f5496" w:themeColor="accent1" w:themeShade="0000BF"/>
      <w:spacing w:val="5"/>
    </w:rPr>
  </w:style>
  <w:style w:type="paragraph" w:styleId="ae">
    <w:name w:val="header"/>
    <w:basedOn w:val="a"/>
    <w:link w:val="af"/>
    <w:uiPriority w:val="99"/>
    <w:unhideWhenUsed w:val="1"/>
    <w:rsid w:val="00534048"/>
    <w:pPr>
      <w:tabs>
        <w:tab w:val="center" w:pos="4153"/>
        <w:tab w:val="right" w:pos="8306"/>
      </w:tabs>
      <w:spacing w:after="0" w:line="240" w:lineRule="auto"/>
    </w:pPr>
  </w:style>
  <w:style w:type="character" w:styleId="af" w:customStyle="1">
    <w:name w:val="כותרת עליונה תו"/>
    <w:basedOn w:val="a0"/>
    <w:link w:val="ae"/>
    <w:uiPriority w:val="99"/>
    <w:rsid w:val="00534048"/>
  </w:style>
  <w:style w:type="paragraph" w:styleId="af0">
    <w:name w:val="footer"/>
    <w:basedOn w:val="a"/>
    <w:link w:val="af1"/>
    <w:uiPriority w:val="99"/>
    <w:unhideWhenUsed w:val="1"/>
    <w:rsid w:val="00534048"/>
    <w:pPr>
      <w:tabs>
        <w:tab w:val="center" w:pos="4153"/>
        <w:tab w:val="right" w:pos="8306"/>
      </w:tabs>
      <w:spacing w:after="0" w:line="240" w:lineRule="auto"/>
    </w:pPr>
  </w:style>
  <w:style w:type="character" w:styleId="af1" w:customStyle="1">
    <w:name w:val="כותרת תחתונה תו"/>
    <w:basedOn w:val="a0"/>
    <w:link w:val="af0"/>
    <w:uiPriority w:val="99"/>
    <w:rsid w:val="00534048"/>
  </w:style>
  <w:style w:type="paragraph" w:styleId="af2">
    <w:name w:val="Body Text"/>
    <w:basedOn w:val="a"/>
    <w:link w:val="af3"/>
    <w:uiPriority w:val="1"/>
    <w:qFormat w:val="1"/>
    <w:rsid w:val="00534048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kern w:val="0"/>
      <w:sz w:val="20"/>
      <w:szCs w:val="20"/>
      <w:lang w:val="en-US"/>
    </w:rPr>
  </w:style>
  <w:style w:type="character" w:styleId="af3" w:customStyle="1">
    <w:name w:val="גוף טקסט תו"/>
    <w:basedOn w:val="a0"/>
    <w:link w:val="af2"/>
    <w:uiPriority w:val="1"/>
    <w:rsid w:val="00534048"/>
    <w:rPr>
      <w:rFonts w:ascii="Calibri" w:cs="Calibri" w:eastAsia="Calibri" w:hAnsi="Calibri"/>
      <w:kern w:val="0"/>
      <w:sz w:val="20"/>
      <w:szCs w:val="20"/>
      <w:lang w:val="en-US"/>
    </w:rPr>
  </w:style>
  <w:style w:type="character" w:styleId="af4">
    <w:name w:val="Placeholder Text"/>
    <w:basedOn w:val="a0"/>
    <w:uiPriority w:val="99"/>
    <w:semiHidden w:val="1"/>
    <w:rsid w:val="00812AB8"/>
    <w:rPr>
      <w:color w:val="666666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43078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HTML מעוצב מראש תו"/>
    <w:basedOn w:val="a0"/>
    <w:link w:val="HTML"/>
    <w:uiPriority w:val="99"/>
    <w:semiHidden w:val="1"/>
    <w:rsid w:val="00743078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cs.utexas.edu/~marijn/pt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WNyRXjHdD7sGuUMtVPTJXGdbxQ==">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2024-11-05T05:40:00Z</dcterms:created>
  <dc:creator>Zvika Berger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0fa3035fc1c95edad8701332337ec59d867de2def839ac63c6b0bcd450624b9c</vt:lpwstr>
  </property>
</Properties>
</file>